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B6E3" w14:textId="77777777" w:rsidR="006B644E" w:rsidRPr="008E68A4" w:rsidRDefault="006B644E" w:rsidP="006B644E">
      <w:pPr>
        <w:ind w:firstLine="851"/>
        <w:contextualSpacing/>
        <w:jc w:val="center"/>
        <w:rPr>
          <w:b/>
          <w:bCs/>
          <w:lang w:val="uk-UA"/>
        </w:rPr>
      </w:pPr>
      <w:r w:rsidRPr="008E68A4">
        <w:rPr>
          <w:b/>
          <w:bCs/>
          <w:lang w:val="uk-UA"/>
        </w:rPr>
        <w:t xml:space="preserve">Повідомлення про намір ТОВ «Оператор ГТС України» отримати дозвіл на викиди забруднюючих речовин стаціонарними джерелами </w:t>
      </w:r>
    </w:p>
    <w:p w14:paraId="1B06F929" w14:textId="1A0492E1" w:rsidR="006B644E" w:rsidRPr="008E68A4" w:rsidRDefault="00CF49EE" w:rsidP="006B644E">
      <w:pPr>
        <w:ind w:firstLine="851"/>
        <w:contextualSpacing/>
        <w:jc w:val="center"/>
        <w:rPr>
          <w:b/>
          <w:bCs/>
          <w:lang w:val="uk-UA"/>
        </w:rPr>
      </w:pPr>
      <w:r>
        <w:rPr>
          <w:b/>
        </w:rPr>
        <w:t xml:space="preserve">КС </w:t>
      </w:r>
      <w:proofErr w:type="spellStart"/>
      <w:r>
        <w:rPr>
          <w:b/>
        </w:rPr>
        <w:t>Кам’янка-Бузька</w:t>
      </w:r>
      <w:proofErr w:type="spellEnd"/>
      <w:r>
        <w:rPr>
          <w:b/>
        </w:rPr>
        <w:t xml:space="preserve"> (</w:t>
      </w:r>
      <w:proofErr w:type="spellStart"/>
      <w:r>
        <w:rPr>
          <w:b/>
        </w:rPr>
        <w:t>Кам’янка-Бузький</w:t>
      </w:r>
      <w:proofErr w:type="spellEnd"/>
      <w:r>
        <w:rPr>
          <w:b/>
        </w:rPr>
        <w:t xml:space="preserve"> ПМ)</w:t>
      </w:r>
      <w:r w:rsidR="00B56392" w:rsidRPr="00236DC9">
        <w:rPr>
          <w:b/>
        </w:rPr>
        <w:t xml:space="preserve"> </w:t>
      </w:r>
      <w:proofErr w:type="spellStart"/>
      <w:r>
        <w:rPr>
          <w:b/>
        </w:rPr>
        <w:t>Західного</w:t>
      </w:r>
      <w:proofErr w:type="spellEnd"/>
      <w:r w:rsidR="00B56392" w:rsidRPr="00236DC9">
        <w:rPr>
          <w:b/>
        </w:rPr>
        <w:t xml:space="preserve"> ЛВУМГ</w:t>
      </w:r>
      <w:r w:rsidR="006B644E" w:rsidRPr="008E68A4">
        <w:rPr>
          <w:b/>
          <w:bCs/>
          <w:lang w:val="uk-UA"/>
        </w:rPr>
        <w:t xml:space="preserve"> </w:t>
      </w:r>
    </w:p>
    <w:p w14:paraId="75915370" w14:textId="77777777" w:rsidR="006B644E" w:rsidRPr="008E68A4" w:rsidRDefault="006B644E" w:rsidP="006B644E">
      <w:pPr>
        <w:ind w:firstLine="851"/>
        <w:contextualSpacing/>
        <w:rPr>
          <w:lang w:val="uk-UA"/>
        </w:rPr>
      </w:pPr>
    </w:p>
    <w:p w14:paraId="633ADCB5" w14:textId="77777777" w:rsidR="006B644E" w:rsidRPr="008E68A4" w:rsidRDefault="006B644E" w:rsidP="006B644E">
      <w:pPr>
        <w:pStyle w:val="rvps2"/>
        <w:shd w:val="clear" w:color="auto" w:fill="FFFFFF"/>
        <w:spacing w:before="0" w:beforeAutospacing="0" w:after="0" w:afterAutospacing="0"/>
        <w:ind w:firstLine="851"/>
        <w:contextualSpacing/>
        <w:jc w:val="both"/>
        <w:rPr>
          <w:lang w:val="uk-UA"/>
        </w:rPr>
      </w:pPr>
      <w:r w:rsidRPr="008E68A4">
        <w:rPr>
          <w:b/>
          <w:bCs/>
          <w:lang w:val="uk-UA"/>
        </w:rPr>
        <w:t>Повне та скорочене найменування суб’єкта господарювання:</w:t>
      </w:r>
      <w:r w:rsidRPr="008E68A4">
        <w:rPr>
          <w:lang w:val="uk-UA"/>
        </w:rPr>
        <w:t xml:space="preserve"> Товариство з обмеженою відповідальністю «Оператор газотранспортної системи України» (ТОВ «Оператор ГТС України»).</w:t>
      </w:r>
    </w:p>
    <w:p w14:paraId="6431F0AE" w14:textId="77777777" w:rsidR="006B644E" w:rsidRPr="008E68A4" w:rsidRDefault="006B644E" w:rsidP="006B644E">
      <w:pPr>
        <w:pStyle w:val="rvps2"/>
        <w:shd w:val="clear" w:color="auto" w:fill="FFFFFF"/>
        <w:spacing w:before="0" w:beforeAutospacing="0" w:after="0" w:afterAutospacing="0"/>
        <w:ind w:firstLine="851"/>
        <w:contextualSpacing/>
        <w:jc w:val="both"/>
        <w:rPr>
          <w:lang w:val="uk-UA"/>
        </w:rPr>
      </w:pPr>
      <w:bookmarkStart w:id="0" w:name="n115"/>
      <w:bookmarkEnd w:id="0"/>
      <w:r w:rsidRPr="008E68A4">
        <w:rPr>
          <w:b/>
          <w:bCs/>
          <w:lang w:val="uk-UA"/>
        </w:rPr>
        <w:t>Ідентифікаційний код юридичної особи в ЄДРПОУ:</w:t>
      </w:r>
      <w:r w:rsidRPr="008E68A4">
        <w:rPr>
          <w:lang w:val="uk-UA"/>
        </w:rPr>
        <w:t xml:space="preserve"> 42795490.</w:t>
      </w:r>
    </w:p>
    <w:p w14:paraId="6AEB36C0" w14:textId="77777777" w:rsidR="006B644E" w:rsidRPr="008E68A4" w:rsidRDefault="006B644E" w:rsidP="006B644E">
      <w:pPr>
        <w:pStyle w:val="rvps2"/>
        <w:shd w:val="clear" w:color="auto" w:fill="FFFFFF"/>
        <w:spacing w:before="0" w:beforeAutospacing="0" w:after="0" w:afterAutospacing="0"/>
        <w:ind w:firstLine="851"/>
        <w:contextualSpacing/>
        <w:jc w:val="both"/>
        <w:rPr>
          <w:lang w:val="uk-UA"/>
        </w:rPr>
      </w:pPr>
      <w:bookmarkStart w:id="1" w:name="n116"/>
      <w:bookmarkEnd w:id="1"/>
      <w:r w:rsidRPr="008E68A4">
        <w:rPr>
          <w:b/>
          <w:bCs/>
          <w:lang w:val="uk-UA"/>
        </w:rPr>
        <w:t>Місцезнаходження суб’єкта господарювання, контактні дані:</w:t>
      </w:r>
      <w:r w:rsidRPr="008E68A4">
        <w:rPr>
          <w:lang w:val="uk-UA"/>
        </w:rPr>
        <w:t xml:space="preserve"> Україна, 03065, місто Київ, пр. </w:t>
      </w:r>
      <w:proofErr w:type="spellStart"/>
      <w:r w:rsidRPr="008E68A4">
        <w:rPr>
          <w:lang w:val="uk-UA"/>
        </w:rPr>
        <w:t>Гузара</w:t>
      </w:r>
      <w:proofErr w:type="spellEnd"/>
      <w:r w:rsidRPr="008E68A4">
        <w:rPr>
          <w:lang w:val="uk-UA"/>
        </w:rPr>
        <w:t xml:space="preserve"> Любомира, будинок 44; </w:t>
      </w:r>
      <w:proofErr w:type="spellStart"/>
      <w:r w:rsidRPr="008E68A4">
        <w:rPr>
          <w:lang w:val="uk-UA"/>
        </w:rPr>
        <w:t>тел</w:t>
      </w:r>
      <w:proofErr w:type="spellEnd"/>
      <w:r w:rsidRPr="008E68A4">
        <w:rPr>
          <w:lang w:val="uk-UA"/>
        </w:rPr>
        <w:t>.: (044) 239-77-76, (044) 298-64-7</w:t>
      </w:r>
      <w:r w:rsidR="00132737" w:rsidRPr="008E68A4">
        <w:rPr>
          <w:lang w:val="uk-UA"/>
        </w:rPr>
        <w:t>6</w:t>
      </w:r>
      <w:r w:rsidRPr="008E68A4">
        <w:rPr>
          <w:lang w:val="uk-UA"/>
        </w:rPr>
        <w:t>; e-</w:t>
      </w:r>
      <w:proofErr w:type="spellStart"/>
      <w:r w:rsidRPr="008E68A4">
        <w:rPr>
          <w:lang w:val="uk-UA"/>
        </w:rPr>
        <w:t>mail</w:t>
      </w:r>
      <w:proofErr w:type="spellEnd"/>
      <w:r w:rsidRPr="008E68A4">
        <w:rPr>
          <w:lang w:val="uk-UA"/>
        </w:rPr>
        <w:t xml:space="preserve">:  </w:t>
      </w:r>
      <w:hyperlink r:id="rId5" w:history="1">
        <w:r w:rsidRPr="008E68A4">
          <w:rPr>
            <w:lang w:val="uk-UA"/>
          </w:rPr>
          <w:t>info@tsoua.com</w:t>
        </w:r>
      </w:hyperlink>
    </w:p>
    <w:p w14:paraId="5CA04109" w14:textId="07BBC248" w:rsidR="006B644E" w:rsidRPr="008E68A4" w:rsidRDefault="006B644E" w:rsidP="006B644E">
      <w:pPr>
        <w:pStyle w:val="rvps2"/>
        <w:shd w:val="clear" w:color="auto" w:fill="FFFFFF"/>
        <w:spacing w:before="0" w:beforeAutospacing="0" w:after="0" w:afterAutospacing="0"/>
        <w:ind w:firstLine="851"/>
        <w:contextualSpacing/>
        <w:jc w:val="both"/>
        <w:rPr>
          <w:lang w:val="uk-UA"/>
        </w:rPr>
      </w:pPr>
      <w:bookmarkStart w:id="2" w:name="n117"/>
      <w:bookmarkEnd w:id="2"/>
      <w:r w:rsidRPr="008E68A4">
        <w:rPr>
          <w:b/>
          <w:bCs/>
          <w:lang w:val="uk-UA"/>
        </w:rPr>
        <w:t>Місцезнаходження об’єкта:</w:t>
      </w:r>
      <w:r w:rsidRPr="008E68A4">
        <w:rPr>
          <w:lang w:val="uk-UA"/>
        </w:rPr>
        <w:t xml:space="preserve"> </w:t>
      </w:r>
      <w:r w:rsidR="00CF49EE">
        <w:rPr>
          <w:lang w:val="uk-UA"/>
        </w:rPr>
        <w:t>Україна, 80400, Львівська область, Львівський район, Кам’янка-Бузька об’єднана територіальна громада, місто Кам’янка-Бузька, вулиця Героїв Небесної Сотні, 20</w:t>
      </w:r>
      <w:r w:rsidRPr="008E68A4">
        <w:rPr>
          <w:lang w:val="uk-UA"/>
        </w:rPr>
        <w:t>.</w:t>
      </w:r>
    </w:p>
    <w:p w14:paraId="0AEBD5A8" w14:textId="77777777" w:rsidR="006B644E" w:rsidRPr="008E68A4" w:rsidRDefault="006B644E" w:rsidP="006B644E">
      <w:pPr>
        <w:pStyle w:val="rvps2"/>
        <w:shd w:val="clear" w:color="auto" w:fill="FFFFFF"/>
        <w:spacing w:before="0" w:beforeAutospacing="0" w:after="0" w:afterAutospacing="0"/>
        <w:ind w:firstLine="851"/>
        <w:contextualSpacing/>
        <w:jc w:val="both"/>
        <w:rPr>
          <w:lang w:val="uk-UA"/>
        </w:rPr>
      </w:pPr>
      <w:bookmarkStart w:id="3" w:name="n118"/>
      <w:bookmarkEnd w:id="3"/>
      <w:r w:rsidRPr="008E68A4">
        <w:rPr>
          <w:b/>
          <w:bCs/>
          <w:lang w:val="uk-UA"/>
        </w:rPr>
        <w:t>Мета отримання дозволу на викиди:</w:t>
      </w:r>
      <w:r w:rsidRPr="008E68A4">
        <w:rPr>
          <w:lang w:val="uk-UA"/>
        </w:rPr>
        <w:t xml:space="preserve"> дотримання вимог природоохоронного законодавства, отримання дозволу на викиди для існуючого об'єкту.</w:t>
      </w:r>
    </w:p>
    <w:p w14:paraId="14704A47" w14:textId="5EFD83B2" w:rsidR="006B644E" w:rsidRPr="008E68A4" w:rsidRDefault="006B644E" w:rsidP="006B644E">
      <w:pPr>
        <w:pStyle w:val="rvps2"/>
        <w:shd w:val="clear" w:color="auto" w:fill="FFFFFF"/>
        <w:spacing w:before="0" w:beforeAutospacing="0" w:after="0" w:afterAutospacing="0"/>
        <w:ind w:firstLine="851"/>
        <w:contextualSpacing/>
        <w:jc w:val="both"/>
        <w:rPr>
          <w:lang w:val="uk-UA"/>
        </w:rPr>
      </w:pPr>
      <w:r w:rsidRPr="008E68A4">
        <w:rPr>
          <w:b/>
          <w:bCs/>
          <w:lang w:val="uk-UA"/>
        </w:rPr>
        <w:t xml:space="preserve">Відомості про наявність висновку з оцінки впливу на довкілля: </w:t>
      </w:r>
      <w:r w:rsidR="00CF49EE">
        <w:rPr>
          <w:lang w:val="uk-UA"/>
        </w:rPr>
        <w:t>КС Кам’янка-Бузька (Кам’янка-Бузький ПМ)</w:t>
      </w:r>
      <w:r w:rsidR="00C323BD" w:rsidRPr="008E68A4">
        <w:rPr>
          <w:lang w:val="uk-UA"/>
        </w:rPr>
        <w:t xml:space="preserve"> </w:t>
      </w:r>
      <w:r w:rsidRPr="008E68A4">
        <w:rPr>
          <w:lang w:val="uk-UA"/>
        </w:rPr>
        <w:t>є діючим об’єктом, що введен</w:t>
      </w:r>
      <w:r w:rsidR="00CF49EE">
        <w:rPr>
          <w:lang w:val="uk-UA"/>
        </w:rPr>
        <w:t xml:space="preserve">ий </w:t>
      </w:r>
      <w:r w:rsidRPr="008E68A4">
        <w:rPr>
          <w:lang w:val="uk-UA"/>
        </w:rPr>
        <w:t xml:space="preserve">в </w:t>
      </w:r>
      <w:r w:rsidR="00B56392" w:rsidRPr="00B56392">
        <w:rPr>
          <w:lang w:val="uk-UA"/>
        </w:rPr>
        <w:t>експлуатацію в 19</w:t>
      </w:r>
      <w:r w:rsidR="00CF49EE">
        <w:rPr>
          <w:lang w:val="uk-UA"/>
        </w:rPr>
        <w:t>63</w:t>
      </w:r>
      <w:r w:rsidR="00B56392" w:rsidRPr="00B56392">
        <w:rPr>
          <w:lang w:val="uk-UA"/>
        </w:rPr>
        <w:t xml:space="preserve"> році</w:t>
      </w:r>
      <w:r w:rsidR="00CF49EE">
        <w:rPr>
          <w:lang w:val="uk-UA"/>
        </w:rPr>
        <w:t xml:space="preserve">. </w:t>
      </w:r>
      <w:r w:rsidRPr="008E68A4">
        <w:rPr>
          <w:lang w:val="uk-UA"/>
        </w:rPr>
        <w:t xml:space="preserve">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w:t>
      </w:r>
      <w:r w:rsidR="00CF49EE">
        <w:rPr>
          <w:lang w:val="uk-UA"/>
        </w:rPr>
        <w:t>КС Кам’янка-Бузька (Кам’янка-Бузький ПМ)</w:t>
      </w:r>
      <w:r w:rsidR="00C323BD" w:rsidRPr="008E68A4">
        <w:rPr>
          <w:lang w:val="uk-UA"/>
        </w:rPr>
        <w:t xml:space="preserve"> </w:t>
      </w:r>
      <w:r w:rsidR="00CF49EE">
        <w:rPr>
          <w:lang w:val="uk-UA"/>
        </w:rPr>
        <w:t>Західного</w:t>
      </w:r>
      <w:r w:rsidR="00C323BD" w:rsidRPr="008E68A4">
        <w:rPr>
          <w:lang w:val="uk-UA"/>
        </w:rPr>
        <w:t xml:space="preserve"> ЛВУМГ </w:t>
      </w:r>
      <w:r w:rsidRPr="008E68A4">
        <w:rPr>
          <w:lang w:val="uk-UA"/>
        </w:rPr>
        <w:t>не підлягає оцінці впливу на довкілля.</w:t>
      </w:r>
    </w:p>
    <w:p w14:paraId="2F204856" w14:textId="60C44C27" w:rsidR="006C5315" w:rsidRDefault="006B644E" w:rsidP="006C5315">
      <w:pPr>
        <w:ind w:firstLine="851"/>
        <w:contextualSpacing/>
        <w:jc w:val="both"/>
        <w:rPr>
          <w:lang w:val="uk-UA"/>
        </w:rPr>
      </w:pPr>
      <w:bookmarkStart w:id="4" w:name="n120"/>
      <w:bookmarkEnd w:id="4"/>
      <w:r w:rsidRPr="008E68A4">
        <w:rPr>
          <w:b/>
          <w:bCs/>
          <w:lang w:val="uk-UA"/>
        </w:rPr>
        <w:t xml:space="preserve">Загальний опис об’єкта: </w:t>
      </w:r>
      <w:r w:rsidR="00C323BD" w:rsidRPr="008E68A4">
        <w:rPr>
          <w:lang w:val="uk-UA"/>
        </w:rPr>
        <w:t>Компресорна станція (КС) – комплекс механізмів, обладнань та будівель, призначений для транспортування природного газу магістральними газопроводами за рахунок підвищення його тиску (</w:t>
      </w:r>
      <w:proofErr w:type="spellStart"/>
      <w:r w:rsidR="00C323BD" w:rsidRPr="008E68A4">
        <w:rPr>
          <w:lang w:val="uk-UA"/>
        </w:rPr>
        <w:t>компримування</w:t>
      </w:r>
      <w:proofErr w:type="spellEnd"/>
      <w:r w:rsidR="00C323BD" w:rsidRPr="008E68A4">
        <w:rPr>
          <w:lang w:val="uk-UA"/>
        </w:rPr>
        <w:t xml:space="preserve">). </w:t>
      </w:r>
      <w:r w:rsidR="006C5315" w:rsidRPr="006C5315">
        <w:rPr>
          <w:lang w:val="uk-UA"/>
        </w:rPr>
        <w:t>Компресорна станція складається із наступних технологічно зв’язаних основних об'єктів: лінійної частини газопроводів (</w:t>
      </w:r>
      <w:proofErr w:type="spellStart"/>
      <w:r w:rsidR="006C5315" w:rsidRPr="006C5315">
        <w:rPr>
          <w:lang w:val="uk-UA"/>
        </w:rPr>
        <w:t>всмоктуючого</w:t>
      </w:r>
      <w:proofErr w:type="spellEnd"/>
      <w:r w:rsidR="006C5315" w:rsidRPr="006C5315">
        <w:rPr>
          <w:lang w:val="uk-UA"/>
        </w:rPr>
        <w:t xml:space="preserve"> та нагнітаючого), </w:t>
      </w:r>
      <w:r w:rsidR="00B56392">
        <w:rPr>
          <w:lang w:val="uk-UA"/>
        </w:rPr>
        <w:t>вузла очищення газу</w:t>
      </w:r>
      <w:r w:rsidR="006C5315" w:rsidRPr="006C5315">
        <w:rPr>
          <w:lang w:val="uk-UA"/>
        </w:rPr>
        <w:t xml:space="preserve">, </w:t>
      </w:r>
      <w:r w:rsidR="00B56392">
        <w:rPr>
          <w:lang w:val="uk-UA"/>
        </w:rPr>
        <w:t>б</w:t>
      </w:r>
      <w:r w:rsidR="00B56392" w:rsidRPr="00B56392">
        <w:rPr>
          <w:lang w:val="uk-UA"/>
        </w:rPr>
        <w:t>лок</w:t>
      </w:r>
      <w:r w:rsidR="00513261">
        <w:rPr>
          <w:lang w:val="uk-UA"/>
        </w:rPr>
        <w:t>у</w:t>
      </w:r>
      <w:r w:rsidR="00B56392" w:rsidRPr="00B56392">
        <w:rPr>
          <w:lang w:val="uk-UA"/>
        </w:rPr>
        <w:t xml:space="preserve"> підготовки паливного, пускового, імпульсного газу</w:t>
      </w:r>
      <w:r w:rsidR="00B56392">
        <w:rPr>
          <w:lang w:val="uk-UA"/>
        </w:rPr>
        <w:t xml:space="preserve"> та</w:t>
      </w:r>
      <w:r w:rsidR="006C5315" w:rsidRPr="006C5315">
        <w:rPr>
          <w:lang w:val="uk-UA"/>
        </w:rPr>
        <w:t xml:space="preserve"> компресорн</w:t>
      </w:r>
      <w:r w:rsidR="00513261">
        <w:rPr>
          <w:lang w:val="uk-UA"/>
        </w:rPr>
        <w:t>ого</w:t>
      </w:r>
      <w:r w:rsidR="006C5315" w:rsidRPr="006C5315">
        <w:rPr>
          <w:lang w:val="uk-UA"/>
        </w:rPr>
        <w:t xml:space="preserve"> цех</w:t>
      </w:r>
      <w:r w:rsidR="00513261">
        <w:rPr>
          <w:lang w:val="uk-UA"/>
        </w:rPr>
        <w:t>у</w:t>
      </w:r>
      <w:r w:rsidR="006C5315" w:rsidRPr="006C5315">
        <w:rPr>
          <w:lang w:val="uk-UA"/>
        </w:rPr>
        <w:t>.</w:t>
      </w:r>
    </w:p>
    <w:p w14:paraId="59714816" w14:textId="64E52C39" w:rsidR="007408A6" w:rsidRPr="006C5315" w:rsidRDefault="007408A6" w:rsidP="00674FC9">
      <w:pPr>
        <w:ind w:firstLine="851"/>
        <w:contextualSpacing/>
        <w:jc w:val="both"/>
        <w:rPr>
          <w:lang w:val="uk-UA"/>
        </w:rPr>
      </w:pPr>
      <w:r w:rsidRPr="007408A6">
        <w:rPr>
          <w:lang w:val="uk-UA"/>
        </w:rPr>
        <w:t xml:space="preserve">Теплопостачання виробничих та службових будівель </w:t>
      </w:r>
      <w:r w:rsidR="00513261">
        <w:rPr>
          <w:lang w:val="uk-UA"/>
        </w:rPr>
        <w:t>КС Кам’янка-Бузька (Кам’янка-Бузький ПМ)</w:t>
      </w:r>
      <w:r w:rsidRPr="007408A6">
        <w:rPr>
          <w:lang w:val="uk-UA"/>
        </w:rPr>
        <w:t xml:space="preserve"> забезпечується власною котельнею, яка експлуатується виключно в опалювальний період.</w:t>
      </w:r>
      <w:r>
        <w:rPr>
          <w:lang w:val="uk-UA"/>
        </w:rPr>
        <w:t xml:space="preserve"> </w:t>
      </w:r>
      <w:r w:rsidRPr="007408A6">
        <w:rPr>
          <w:lang w:val="uk-UA"/>
        </w:rPr>
        <w:t xml:space="preserve">На території </w:t>
      </w:r>
      <w:r w:rsidR="00513261">
        <w:rPr>
          <w:lang w:val="uk-UA"/>
        </w:rPr>
        <w:t>КС Кам’янка-Бузька (Кам’янка-Бузький ПМ)</w:t>
      </w:r>
      <w:r w:rsidR="00E20C5C">
        <w:rPr>
          <w:lang w:val="uk-UA"/>
        </w:rPr>
        <w:t xml:space="preserve"> </w:t>
      </w:r>
      <w:r w:rsidRPr="007408A6">
        <w:rPr>
          <w:lang w:val="uk-UA"/>
        </w:rPr>
        <w:t xml:space="preserve">розташована газорозподільна станція </w:t>
      </w:r>
      <w:r w:rsidR="00513261">
        <w:rPr>
          <w:lang w:val="uk-UA"/>
        </w:rPr>
        <w:t>Кам’янка-Бузька</w:t>
      </w:r>
      <w:r w:rsidRPr="007408A6">
        <w:rPr>
          <w:lang w:val="uk-UA"/>
        </w:rPr>
        <w:t xml:space="preserve">, що призначена для зниження високого тиску газу, з яким він поступає з магістрального газопроводу до тиску, допустимого для мереж розподілення природного газу споживачам, та наступної подачі газу споживачам з необхідним і сталим тиском, ступенем очищення, ступенем </w:t>
      </w:r>
      <w:proofErr w:type="spellStart"/>
      <w:r w:rsidRPr="007408A6">
        <w:rPr>
          <w:lang w:val="uk-UA"/>
        </w:rPr>
        <w:t>одорування</w:t>
      </w:r>
      <w:proofErr w:type="spellEnd"/>
      <w:r w:rsidRPr="007408A6">
        <w:rPr>
          <w:lang w:val="uk-UA"/>
        </w:rPr>
        <w:t>.</w:t>
      </w:r>
    </w:p>
    <w:p w14:paraId="0792BADE" w14:textId="0E8B9D63" w:rsidR="006B644E" w:rsidRPr="008E68A4" w:rsidRDefault="006B644E" w:rsidP="006B644E">
      <w:pPr>
        <w:ind w:firstLine="851"/>
        <w:contextualSpacing/>
        <w:jc w:val="both"/>
        <w:rPr>
          <w:lang w:val="uk-UA"/>
        </w:rPr>
      </w:pPr>
      <w:r w:rsidRPr="008E68A4">
        <w:rPr>
          <w:lang w:val="uk-UA"/>
        </w:rPr>
        <w:t>Джерелами викиду забруднюючих речовин є</w:t>
      </w:r>
      <w:r w:rsidR="00C323BD" w:rsidRPr="008E68A4">
        <w:rPr>
          <w:lang w:val="uk-UA"/>
        </w:rPr>
        <w:t xml:space="preserve">: технологічні свічі, вентиляційні труби, дихальні </w:t>
      </w:r>
      <w:r w:rsidR="00513261">
        <w:rPr>
          <w:lang w:val="uk-UA"/>
        </w:rPr>
        <w:t>клапани</w:t>
      </w:r>
      <w:r w:rsidR="00C323BD" w:rsidRPr="008E68A4">
        <w:rPr>
          <w:lang w:val="uk-UA"/>
        </w:rPr>
        <w:t>, димові труби</w:t>
      </w:r>
      <w:r w:rsidR="00513261">
        <w:rPr>
          <w:lang w:val="uk-UA"/>
        </w:rPr>
        <w:t xml:space="preserve">, дефлектори </w:t>
      </w:r>
      <w:r w:rsidR="00C323BD" w:rsidRPr="008E68A4">
        <w:rPr>
          <w:lang w:val="uk-UA"/>
        </w:rPr>
        <w:t>та неорганізовані джерела викиду</w:t>
      </w:r>
      <w:r w:rsidRPr="008E68A4">
        <w:rPr>
          <w:lang w:val="uk-UA"/>
        </w:rPr>
        <w:t xml:space="preserve">. Загальна кількість джерел викиду – </w:t>
      </w:r>
      <w:r w:rsidR="00513261">
        <w:rPr>
          <w:lang w:val="uk-UA"/>
        </w:rPr>
        <w:t>79</w:t>
      </w:r>
      <w:r w:rsidRPr="008E68A4">
        <w:rPr>
          <w:lang w:val="uk-UA"/>
        </w:rPr>
        <w:t xml:space="preserve"> </w:t>
      </w:r>
      <w:r w:rsidR="00C323BD" w:rsidRPr="008E68A4">
        <w:rPr>
          <w:color w:val="000000"/>
          <w:lang w:val="uk-UA" w:eastAsia="uk-UA" w:bidi="uk-UA"/>
        </w:rPr>
        <w:t xml:space="preserve">(в тому числі </w:t>
      </w:r>
      <w:r w:rsidR="00513261">
        <w:rPr>
          <w:color w:val="000000"/>
          <w:lang w:val="uk-UA" w:eastAsia="uk-UA" w:bidi="uk-UA"/>
        </w:rPr>
        <w:t>72</w:t>
      </w:r>
      <w:r w:rsidR="00C323BD" w:rsidRPr="008E68A4">
        <w:rPr>
          <w:color w:val="000000"/>
          <w:lang w:val="uk-UA" w:eastAsia="uk-UA" w:bidi="uk-UA"/>
        </w:rPr>
        <w:t xml:space="preserve"> – організовані, </w:t>
      </w:r>
      <w:r w:rsidR="00513261">
        <w:rPr>
          <w:color w:val="000000"/>
          <w:lang w:val="uk-UA" w:eastAsia="uk-UA" w:bidi="uk-UA"/>
        </w:rPr>
        <w:t>7</w:t>
      </w:r>
      <w:r w:rsidR="00C323BD" w:rsidRPr="008E68A4">
        <w:rPr>
          <w:color w:val="000000"/>
          <w:lang w:val="uk-UA" w:eastAsia="uk-UA" w:bidi="uk-UA"/>
        </w:rPr>
        <w:t xml:space="preserve"> – неорганізовані)</w:t>
      </w:r>
      <w:r w:rsidRPr="008E68A4">
        <w:rPr>
          <w:lang w:val="uk-UA"/>
        </w:rPr>
        <w:t>.</w:t>
      </w:r>
    </w:p>
    <w:p w14:paraId="23178601" w14:textId="7614C6A6" w:rsidR="006B644E" w:rsidRPr="008E68A4" w:rsidRDefault="006B644E" w:rsidP="006B644E">
      <w:pPr>
        <w:ind w:firstLine="851"/>
        <w:contextualSpacing/>
        <w:jc w:val="both"/>
        <w:rPr>
          <w:lang w:val="uk-UA"/>
        </w:rPr>
      </w:pPr>
      <w:r w:rsidRPr="008E68A4">
        <w:rPr>
          <w:lang w:val="uk-UA"/>
        </w:rPr>
        <w:t xml:space="preserve">Суб’єкт господарювання </w:t>
      </w:r>
      <w:proofErr w:type="spellStart"/>
      <w:r w:rsidRPr="008E68A4">
        <w:rPr>
          <w:lang w:val="uk-UA"/>
        </w:rPr>
        <w:t>внесено</w:t>
      </w:r>
      <w:proofErr w:type="spellEnd"/>
      <w:r w:rsidRPr="008E68A4">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w:t>
      </w:r>
      <w:r w:rsidR="00B56392">
        <w:rPr>
          <w:lang w:val="uk-UA"/>
        </w:rPr>
        <w:t>і</w:t>
      </w:r>
      <w:r w:rsidRPr="008E68A4">
        <w:rPr>
          <w:lang w:val="uk-UA"/>
        </w:rPr>
        <w:t>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газотранспортної системи України, не підлягають поширенню за межі структури підприємства. Доступ сторонніх осіб до об’єкту заборонено.</w:t>
      </w:r>
    </w:p>
    <w:p w14:paraId="7BA0553D" w14:textId="15C2DF4D" w:rsidR="00C323BD" w:rsidRPr="00513261" w:rsidRDefault="00C323BD" w:rsidP="00513261">
      <w:pPr>
        <w:ind w:firstLine="896"/>
        <w:contextualSpacing/>
        <w:jc w:val="both"/>
        <w:rPr>
          <w:rFonts w:eastAsia="Calibri"/>
          <w:bCs/>
          <w:spacing w:val="-2"/>
          <w:lang w:val="uk-UA" w:eastAsia="en-US"/>
        </w:rPr>
      </w:pPr>
      <w:bookmarkStart w:id="5" w:name="n121"/>
      <w:bookmarkStart w:id="6" w:name="n122"/>
      <w:bookmarkEnd w:id="5"/>
      <w:bookmarkEnd w:id="6"/>
      <w:r w:rsidRPr="008E68A4">
        <w:rPr>
          <w:b/>
          <w:bCs/>
          <w:lang w:val="uk-UA"/>
        </w:rPr>
        <w:t xml:space="preserve">Відомості щодо видів та обсягів викидів. </w:t>
      </w:r>
      <w:r w:rsidRPr="006C5315">
        <w:rPr>
          <w:lang w:val="uk-UA"/>
        </w:rPr>
        <w:t xml:space="preserve">Потенційні обсяги викидів забруднюючих речовин в атмосферне повітря (без урахування вуглецю діоксиду) становлять </w:t>
      </w:r>
      <w:r w:rsidR="00513261" w:rsidRPr="00513261">
        <w:rPr>
          <w:color w:val="000000"/>
          <w:lang w:val="uk-UA" w:eastAsia="uk-UA"/>
        </w:rPr>
        <w:t>-</w:t>
      </w:r>
      <w:r w:rsidR="00513261" w:rsidRPr="00513261">
        <w:rPr>
          <w:rFonts w:eastAsia="Calibri"/>
          <w:bCs/>
          <w:spacing w:val="-2"/>
          <w:lang w:val="uk-UA" w:eastAsia="en-US"/>
        </w:rPr>
        <w:t xml:space="preserve"> 93,508 т/рік, в тому числі:</w:t>
      </w:r>
      <w:r w:rsidR="00513261" w:rsidRPr="00513261">
        <w:rPr>
          <w:color w:val="000000"/>
          <w:lang w:val="uk-UA" w:eastAsia="uk-UA"/>
        </w:rPr>
        <w:t xml:space="preserve"> оксиди азоту (оксид та діоксид азоту) у перерахунку на діоксид азоту-  1,615 т/рік; азоту (1) оксид [N2О] -  0,096 т/рік; оксид вуглецю -  2,192 т/рік; метан -  77,239 т/рік; діоксид </w:t>
      </w:r>
      <w:r w:rsidR="00513261" w:rsidRPr="00513261">
        <w:rPr>
          <w:color w:val="000000"/>
          <w:lang w:val="uk-UA" w:eastAsia="uk-UA"/>
        </w:rPr>
        <w:lastRenderedPageBreak/>
        <w:t xml:space="preserve">сірки (діоксид та триоксид) у перерахунку на діоксид сірки - 7,4E-05 т/рік; </w:t>
      </w:r>
      <w:proofErr w:type="spellStart"/>
      <w:r w:rsidR="00513261" w:rsidRPr="00513261">
        <w:rPr>
          <w:color w:val="000000"/>
          <w:lang w:val="uk-UA" w:eastAsia="uk-UA"/>
        </w:rPr>
        <w:t>етантіол</w:t>
      </w:r>
      <w:proofErr w:type="spellEnd"/>
      <w:r w:rsidR="00513261" w:rsidRPr="00513261">
        <w:rPr>
          <w:color w:val="000000"/>
          <w:lang w:val="uk-UA" w:eastAsia="uk-UA"/>
        </w:rPr>
        <w:t xml:space="preserve"> (</w:t>
      </w:r>
      <w:proofErr w:type="spellStart"/>
      <w:r w:rsidR="00513261" w:rsidRPr="00513261">
        <w:rPr>
          <w:color w:val="000000"/>
          <w:lang w:val="uk-UA" w:eastAsia="uk-UA"/>
        </w:rPr>
        <w:t>етилмеркаптан</w:t>
      </w:r>
      <w:proofErr w:type="spellEnd"/>
      <w:r w:rsidR="00513261" w:rsidRPr="00513261">
        <w:rPr>
          <w:color w:val="000000"/>
          <w:lang w:val="uk-UA" w:eastAsia="uk-UA"/>
        </w:rPr>
        <w:t xml:space="preserve">) - 2,8E-08 т/рік; речовини у вигляді суспендованих твердих частинок недиференційованих за складом - 0,032 т/рік; кремнію діоксид аморфний -  0,001 т/рік; бензин (нафтовий, </w:t>
      </w:r>
      <w:proofErr w:type="spellStart"/>
      <w:r w:rsidR="00513261" w:rsidRPr="00513261">
        <w:rPr>
          <w:color w:val="000000"/>
          <w:lang w:val="uk-UA" w:eastAsia="uk-UA"/>
        </w:rPr>
        <w:t>малосірчистий</w:t>
      </w:r>
      <w:proofErr w:type="spellEnd"/>
      <w:r w:rsidR="00513261" w:rsidRPr="00513261">
        <w:rPr>
          <w:color w:val="000000"/>
          <w:lang w:val="uk-UA" w:eastAsia="uk-UA"/>
        </w:rPr>
        <w:t xml:space="preserve">, в перерахунку на вуглець) - 2,4E-06 т/рік; </w:t>
      </w:r>
      <w:proofErr w:type="spellStart"/>
      <w:r w:rsidR="00513261" w:rsidRPr="00513261">
        <w:rPr>
          <w:color w:val="000000"/>
          <w:lang w:val="uk-UA" w:eastAsia="uk-UA"/>
        </w:rPr>
        <w:t>уайт</w:t>
      </w:r>
      <w:proofErr w:type="spellEnd"/>
      <w:r w:rsidR="00513261" w:rsidRPr="00513261">
        <w:rPr>
          <w:color w:val="000000"/>
          <w:lang w:val="uk-UA" w:eastAsia="uk-UA"/>
        </w:rPr>
        <w:t xml:space="preserve">-спірит - 0,006 т/рік; вуглеводні насичені C12-C19 (розчинник РПК-26511 та ін.) у перерахунку на сумарний органічний вуглець - 0,259 т/рік; масло мінеральне нафтове (веретенне, машинне, циліндрове і ін.) - 12,052 т/рік; спирт метиловий - 0,001 т/рік; заліза оксид (у перерахунку на залізо)* - 0,012 т/рік; манган та його сполуки в перерахунку на діоксид мангану - 0,001 т/рік; натрію гідроокис (натр їдкий, сода каустична) - 6,8E-06 т/рік; кислота сірчана за молекулою H2SO4 - 1,4E-05 т/рік; фтористі сполуки погано розчинні неорганічні (фторид алюмінію, </w:t>
      </w:r>
      <w:proofErr w:type="spellStart"/>
      <w:r w:rsidR="00513261" w:rsidRPr="00513261">
        <w:rPr>
          <w:color w:val="000000"/>
          <w:lang w:val="uk-UA" w:eastAsia="uk-UA"/>
        </w:rPr>
        <w:t>гексафторалюмінат</w:t>
      </w:r>
      <w:proofErr w:type="spellEnd"/>
      <w:r w:rsidR="00513261" w:rsidRPr="00513261">
        <w:rPr>
          <w:color w:val="000000"/>
          <w:lang w:val="uk-UA" w:eastAsia="uk-UA"/>
        </w:rPr>
        <w:t xml:space="preserve"> натрію) у перерахунку на фтор - 0,001 т/рік; фтор і його пароподібні та газоподібні сполуки в перерахунку на фтористий водень - 0,001 т/рік. Потенційні обсяги викидів в</w:t>
      </w:r>
      <w:r w:rsidR="00513261" w:rsidRPr="00513261">
        <w:rPr>
          <w:rFonts w:eastAsia="Calibri"/>
          <w:bCs/>
          <w:spacing w:val="-2"/>
          <w:lang w:val="uk-UA" w:eastAsia="en-US"/>
        </w:rPr>
        <w:t xml:space="preserve">углецю діоксиду - </w:t>
      </w:r>
      <w:r w:rsidR="00513261" w:rsidRPr="00513261">
        <w:rPr>
          <w:color w:val="000000"/>
          <w:lang w:val="uk-UA" w:eastAsia="uk-UA"/>
        </w:rPr>
        <w:t>1694,511 т/рік</w:t>
      </w:r>
      <w:r w:rsidRPr="008E68A4">
        <w:rPr>
          <w:lang w:val="uk-UA"/>
        </w:rPr>
        <w:t>. Фактичні обсяги викидів забруднюючих речовин не перевищують потенційні обсяги. За величинами потенційних обсягів викиду забруднюючих речовин об’єкт підлягає взяттю на державний облік та відноситься до другої групи.</w:t>
      </w:r>
    </w:p>
    <w:p w14:paraId="4108E003" w14:textId="0178D8C9" w:rsidR="006B644E" w:rsidRPr="008E68A4" w:rsidRDefault="006B644E" w:rsidP="006B644E">
      <w:pPr>
        <w:pStyle w:val="rvps2"/>
        <w:shd w:val="clear" w:color="auto" w:fill="FFFFFF"/>
        <w:spacing w:before="0" w:beforeAutospacing="0" w:after="0" w:afterAutospacing="0"/>
        <w:ind w:firstLine="851"/>
        <w:contextualSpacing/>
        <w:jc w:val="both"/>
        <w:rPr>
          <w:lang w:val="uk-UA"/>
        </w:rPr>
      </w:pPr>
      <w:r w:rsidRPr="008E68A4">
        <w:rPr>
          <w:b/>
          <w:bCs/>
          <w:lang w:val="uk-UA"/>
        </w:rPr>
        <w:t>Заходи щодо впровадження найкращих існуючих технологій виробництва, що виконані або/та які потребують виконання:</w:t>
      </w:r>
      <w:r w:rsidRPr="008E68A4">
        <w:rPr>
          <w:lang w:val="uk-UA"/>
        </w:rPr>
        <w:t xml:space="preserve"> не передбачено (об’єкт </w:t>
      </w:r>
      <w:r w:rsidR="00C323BD" w:rsidRPr="008E68A4">
        <w:rPr>
          <w:lang w:val="uk-UA"/>
        </w:rPr>
        <w:t>другої</w:t>
      </w:r>
      <w:r w:rsidRPr="008E68A4">
        <w:rPr>
          <w:lang w:val="uk-UA"/>
        </w:rPr>
        <w:t xml:space="preserve"> групи).</w:t>
      </w:r>
    </w:p>
    <w:p w14:paraId="0C86B314" w14:textId="573CDC7B" w:rsidR="006B644E" w:rsidRPr="008E68A4" w:rsidRDefault="006B644E" w:rsidP="006B644E">
      <w:pPr>
        <w:pStyle w:val="rvps2"/>
        <w:shd w:val="clear" w:color="auto" w:fill="FFFFFF"/>
        <w:spacing w:before="0" w:beforeAutospacing="0" w:after="0" w:afterAutospacing="0"/>
        <w:ind w:firstLine="851"/>
        <w:contextualSpacing/>
        <w:jc w:val="both"/>
        <w:rPr>
          <w:lang w:val="uk-UA"/>
        </w:rPr>
      </w:pPr>
      <w:bookmarkStart w:id="7" w:name="n123"/>
      <w:bookmarkEnd w:id="7"/>
      <w:r w:rsidRPr="008E68A4">
        <w:rPr>
          <w:b/>
          <w:bCs/>
          <w:lang w:val="uk-UA"/>
        </w:rPr>
        <w:t>Перелік заходів щодо скорочення викидів, що виконані або/та які потребують виконання:</w:t>
      </w:r>
      <w:r w:rsidRPr="008E68A4">
        <w:rPr>
          <w:lang w:val="uk-UA"/>
        </w:rPr>
        <w:t xml:space="preserve"> </w:t>
      </w:r>
      <w:r w:rsidR="00C323BD" w:rsidRPr="008E68A4">
        <w:rPr>
          <w:lang w:val="uk-UA"/>
        </w:rPr>
        <w:t>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визначені Планом локалізації та ліквідації наслідків аварій, що погоджений Головним управлінням ДСНС України в Львівській області. Інших заходів не передбачено.</w:t>
      </w:r>
    </w:p>
    <w:p w14:paraId="2690AD88" w14:textId="77777777" w:rsidR="006B644E" w:rsidRPr="008E68A4" w:rsidRDefault="006B644E" w:rsidP="006B644E">
      <w:pPr>
        <w:suppressAutoHyphens/>
        <w:ind w:firstLine="851"/>
        <w:contextualSpacing/>
        <w:jc w:val="both"/>
        <w:rPr>
          <w:b/>
          <w:bCs/>
          <w:lang w:val="uk-UA"/>
        </w:rPr>
      </w:pPr>
      <w:bookmarkStart w:id="8" w:name="n124"/>
      <w:bookmarkEnd w:id="8"/>
      <w:r w:rsidRPr="008E68A4">
        <w:rPr>
          <w:b/>
          <w:bCs/>
          <w:lang w:val="uk-UA"/>
        </w:rPr>
        <w:t xml:space="preserve">Дотримання виконання природоохоронних заходів щодо скорочення викидів:  </w:t>
      </w:r>
      <w:r w:rsidRPr="008E68A4">
        <w:rPr>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0A843CE1" w14:textId="77777777" w:rsidR="006B644E" w:rsidRPr="008E68A4" w:rsidRDefault="006B644E" w:rsidP="006B644E">
      <w:pPr>
        <w:pStyle w:val="rvps2"/>
        <w:shd w:val="clear" w:color="auto" w:fill="FFFFFF"/>
        <w:spacing w:before="0" w:beforeAutospacing="0" w:after="0" w:afterAutospacing="0"/>
        <w:ind w:firstLine="851"/>
        <w:contextualSpacing/>
        <w:jc w:val="both"/>
        <w:rPr>
          <w:lang w:val="uk-UA"/>
        </w:rPr>
      </w:pPr>
      <w:r w:rsidRPr="008E68A4">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0E203B43" w14:textId="77777777" w:rsidR="006B644E" w:rsidRPr="008E68A4" w:rsidRDefault="006B644E" w:rsidP="006B644E">
      <w:pPr>
        <w:suppressAutoHyphens/>
        <w:ind w:firstLine="851"/>
        <w:contextualSpacing/>
        <w:jc w:val="both"/>
        <w:rPr>
          <w:b/>
          <w:bCs/>
          <w:lang w:val="uk-UA"/>
        </w:rPr>
      </w:pPr>
      <w:r w:rsidRPr="008E68A4">
        <w:rPr>
          <w:b/>
          <w:bCs/>
          <w:lang w:val="uk-UA"/>
        </w:rPr>
        <w:t xml:space="preserve">Відповідність пропозицій щодо дозволених обсягів викидів законодавству: </w:t>
      </w:r>
      <w:r w:rsidRPr="008E68A4">
        <w:rPr>
          <w:lang w:val="uk-UA"/>
        </w:rPr>
        <w:t>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14:paraId="395654FE" w14:textId="63EE84FE" w:rsidR="00B17DB4" w:rsidRPr="00674FC9" w:rsidRDefault="006B644E" w:rsidP="00674FC9">
      <w:pPr>
        <w:pStyle w:val="rvps2"/>
        <w:spacing w:before="0" w:beforeAutospacing="0" w:after="0" w:afterAutospacing="0"/>
        <w:ind w:firstLine="851"/>
        <w:contextualSpacing/>
        <w:jc w:val="both"/>
        <w:rPr>
          <w:lang w:val="uk-UA"/>
        </w:rPr>
      </w:pPr>
      <w:r w:rsidRPr="00674FC9">
        <w:rPr>
          <w:b/>
          <w:bCs/>
          <w:lang w:val="uk-UA"/>
        </w:rPr>
        <w:t xml:space="preserve">Зауваження та пропозиції громадськості щодо наміру ТОВ «Оператор ГТС України» отримати дозвіл на викиди забруднюючих речовин стаціонарними джерелами </w:t>
      </w:r>
      <w:r w:rsidR="00CF49EE" w:rsidRPr="00674FC9">
        <w:rPr>
          <w:b/>
          <w:lang w:val="uk-UA"/>
        </w:rPr>
        <w:t>КС Кам’янка-Бузька (Кам’янка-Бузький ПМ)</w:t>
      </w:r>
      <w:r w:rsidR="00C323BD" w:rsidRPr="00674FC9">
        <w:rPr>
          <w:b/>
          <w:lang w:val="uk-UA"/>
        </w:rPr>
        <w:t xml:space="preserve"> </w:t>
      </w:r>
      <w:r w:rsidR="00CF49EE" w:rsidRPr="00674FC9">
        <w:rPr>
          <w:b/>
          <w:lang w:val="uk-UA"/>
        </w:rPr>
        <w:t>Західного</w:t>
      </w:r>
      <w:r w:rsidR="00C323BD" w:rsidRPr="00674FC9">
        <w:rPr>
          <w:b/>
          <w:lang w:val="uk-UA"/>
        </w:rPr>
        <w:t xml:space="preserve"> ЛВУМГ</w:t>
      </w:r>
      <w:r w:rsidRPr="00674FC9">
        <w:rPr>
          <w:b/>
          <w:bCs/>
          <w:lang w:val="uk-UA"/>
        </w:rPr>
        <w:t xml:space="preserve"> протягом 30 календарних днів з дня опублікування цього повідомлення проводить </w:t>
      </w:r>
      <w:r w:rsidR="00B17DB4" w:rsidRPr="00674FC9">
        <w:rPr>
          <w:lang w:val="uk-UA"/>
        </w:rPr>
        <w:t xml:space="preserve">Львівська обласна військова адміністрація (Департамент екології та природних ресурсів Львівської обласної військової адміністрації) за </w:t>
      </w:r>
      <w:proofErr w:type="spellStart"/>
      <w:r w:rsidR="00B17DB4" w:rsidRPr="00674FC9">
        <w:rPr>
          <w:lang w:val="uk-UA"/>
        </w:rPr>
        <w:t>адресою</w:t>
      </w:r>
      <w:proofErr w:type="spellEnd"/>
      <w:r w:rsidR="00B17DB4" w:rsidRPr="00674FC9">
        <w:rPr>
          <w:lang w:val="uk-UA"/>
        </w:rPr>
        <w:t xml:space="preserve">: Україна, 79000, Львівська область, місто Львів, вулиця Винниченка, 18 (79026, Львівська область, місто Львів, вулиця Стрийська, 98); </w:t>
      </w:r>
      <w:proofErr w:type="spellStart"/>
      <w:r w:rsidR="00B17DB4" w:rsidRPr="00674FC9">
        <w:rPr>
          <w:lang w:val="uk-UA"/>
        </w:rPr>
        <w:t>тел</w:t>
      </w:r>
      <w:proofErr w:type="spellEnd"/>
      <w:r w:rsidR="00B17DB4" w:rsidRPr="00674FC9">
        <w:rPr>
          <w:lang w:val="uk-UA"/>
        </w:rPr>
        <w:t>: (032) 299-91-44, е-</w:t>
      </w:r>
      <w:proofErr w:type="spellStart"/>
      <w:r w:rsidR="00B17DB4" w:rsidRPr="00674FC9">
        <w:rPr>
          <w:lang w:val="uk-UA"/>
        </w:rPr>
        <w:t>mail</w:t>
      </w:r>
      <w:proofErr w:type="spellEnd"/>
      <w:r w:rsidR="00B17DB4" w:rsidRPr="00674FC9">
        <w:rPr>
          <w:lang w:val="uk-UA"/>
        </w:rPr>
        <w:t>: zvern@loda.gov.ua (</w:t>
      </w:r>
      <w:proofErr w:type="spellStart"/>
      <w:r w:rsidR="00B17DB4" w:rsidRPr="00674FC9">
        <w:rPr>
          <w:lang w:val="uk-UA"/>
        </w:rPr>
        <w:t>тел</w:t>
      </w:r>
      <w:proofErr w:type="spellEnd"/>
      <w:r w:rsidR="00B17DB4" w:rsidRPr="00674FC9">
        <w:rPr>
          <w:lang w:val="uk-UA"/>
        </w:rPr>
        <w:t>: (032) 238-73-83, е-</w:t>
      </w:r>
      <w:proofErr w:type="spellStart"/>
      <w:r w:rsidR="00B17DB4" w:rsidRPr="00674FC9">
        <w:rPr>
          <w:lang w:val="uk-UA"/>
        </w:rPr>
        <w:t>mail</w:t>
      </w:r>
      <w:proofErr w:type="spellEnd"/>
      <w:r w:rsidR="00B17DB4" w:rsidRPr="00674FC9">
        <w:rPr>
          <w:lang w:val="uk-UA"/>
        </w:rPr>
        <w:t>: envir@loda.gov.ua).</w:t>
      </w:r>
    </w:p>
    <w:p w14:paraId="3DC6D827" w14:textId="400755FC" w:rsidR="00A11B8C" w:rsidRPr="008E68A4" w:rsidRDefault="00A11B8C" w:rsidP="00B17DB4">
      <w:pPr>
        <w:pStyle w:val="rvps2"/>
        <w:spacing w:before="0" w:beforeAutospacing="0" w:after="0" w:afterAutospacing="0"/>
        <w:ind w:firstLine="851"/>
        <w:contextualSpacing/>
        <w:jc w:val="both"/>
        <w:rPr>
          <w:color w:val="FF0000"/>
          <w:lang w:val="uk-UA"/>
        </w:rPr>
      </w:pPr>
    </w:p>
    <w:sectPr w:rsidR="00A11B8C" w:rsidRPr="008E68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53"/>
    <w:rsid w:val="00132737"/>
    <w:rsid w:val="001E5ABD"/>
    <w:rsid w:val="00406498"/>
    <w:rsid w:val="00456D6D"/>
    <w:rsid w:val="00513261"/>
    <w:rsid w:val="005D0F17"/>
    <w:rsid w:val="005D632F"/>
    <w:rsid w:val="00614E53"/>
    <w:rsid w:val="00674FC9"/>
    <w:rsid w:val="006B644E"/>
    <w:rsid w:val="006C5315"/>
    <w:rsid w:val="006F291A"/>
    <w:rsid w:val="007408A6"/>
    <w:rsid w:val="00801965"/>
    <w:rsid w:val="008E68A4"/>
    <w:rsid w:val="00A11986"/>
    <w:rsid w:val="00A11B8C"/>
    <w:rsid w:val="00AD78A1"/>
    <w:rsid w:val="00B17DB4"/>
    <w:rsid w:val="00B56392"/>
    <w:rsid w:val="00C04F92"/>
    <w:rsid w:val="00C323BD"/>
    <w:rsid w:val="00CF49EE"/>
    <w:rsid w:val="00D2163A"/>
    <w:rsid w:val="00D300B5"/>
    <w:rsid w:val="00D475E0"/>
    <w:rsid w:val="00DC0375"/>
    <w:rsid w:val="00E20C5C"/>
    <w:rsid w:val="00EC0FD4"/>
    <w:rsid w:val="00F17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93DE"/>
  <w15:chartTrackingRefBased/>
  <w15:docId w15:val="{F7B2BFC3-6F3A-4989-8A9A-0CE88226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E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14E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5278">
      <w:bodyDiv w:val="1"/>
      <w:marLeft w:val="0"/>
      <w:marRight w:val="0"/>
      <w:marTop w:val="0"/>
      <w:marBottom w:val="0"/>
      <w:divBdr>
        <w:top w:val="none" w:sz="0" w:space="0" w:color="auto"/>
        <w:left w:val="none" w:sz="0" w:space="0" w:color="auto"/>
        <w:bottom w:val="none" w:sz="0" w:space="0" w:color="auto"/>
        <w:right w:val="none" w:sz="0" w:space="0" w:color="auto"/>
      </w:divBdr>
    </w:div>
    <w:div w:id="491028079">
      <w:bodyDiv w:val="1"/>
      <w:marLeft w:val="0"/>
      <w:marRight w:val="0"/>
      <w:marTop w:val="0"/>
      <w:marBottom w:val="0"/>
      <w:divBdr>
        <w:top w:val="none" w:sz="0" w:space="0" w:color="auto"/>
        <w:left w:val="none" w:sz="0" w:space="0" w:color="auto"/>
        <w:bottom w:val="none" w:sz="0" w:space="0" w:color="auto"/>
        <w:right w:val="none" w:sz="0" w:space="0" w:color="auto"/>
      </w:divBdr>
    </w:div>
    <w:div w:id="747265364">
      <w:bodyDiv w:val="1"/>
      <w:marLeft w:val="0"/>
      <w:marRight w:val="0"/>
      <w:marTop w:val="0"/>
      <w:marBottom w:val="0"/>
      <w:divBdr>
        <w:top w:val="none" w:sz="0" w:space="0" w:color="auto"/>
        <w:left w:val="none" w:sz="0" w:space="0" w:color="auto"/>
        <w:bottom w:val="none" w:sz="0" w:space="0" w:color="auto"/>
        <w:right w:val="none" w:sz="0" w:space="0" w:color="auto"/>
      </w:divBdr>
    </w:div>
    <w:div w:id="1207568691">
      <w:bodyDiv w:val="1"/>
      <w:marLeft w:val="0"/>
      <w:marRight w:val="0"/>
      <w:marTop w:val="0"/>
      <w:marBottom w:val="0"/>
      <w:divBdr>
        <w:top w:val="none" w:sz="0" w:space="0" w:color="auto"/>
        <w:left w:val="none" w:sz="0" w:space="0" w:color="auto"/>
        <w:bottom w:val="none" w:sz="0" w:space="0" w:color="auto"/>
        <w:right w:val="none" w:sz="0" w:space="0" w:color="auto"/>
      </w:divBdr>
    </w:div>
    <w:div w:id="1371950227">
      <w:bodyDiv w:val="1"/>
      <w:marLeft w:val="0"/>
      <w:marRight w:val="0"/>
      <w:marTop w:val="0"/>
      <w:marBottom w:val="0"/>
      <w:divBdr>
        <w:top w:val="none" w:sz="0" w:space="0" w:color="auto"/>
        <w:left w:val="none" w:sz="0" w:space="0" w:color="auto"/>
        <w:bottom w:val="none" w:sz="0" w:space="0" w:color="auto"/>
        <w:right w:val="none" w:sz="0" w:space="0" w:color="auto"/>
      </w:divBdr>
    </w:div>
    <w:div w:id="1619951107">
      <w:bodyDiv w:val="1"/>
      <w:marLeft w:val="0"/>
      <w:marRight w:val="0"/>
      <w:marTop w:val="0"/>
      <w:marBottom w:val="0"/>
      <w:divBdr>
        <w:top w:val="none" w:sz="0" w:space="0" w:color="auto"/>
        <w:left w:val="none" w:sz="0" w:space="0" w:color="auto"/>
        <w:bottom w:val="none" w:sz="0" w:space="0" w:color="auto"/>
        <w:right w:val="none" w:sz="0" w:space="0" w:color="auto"/>
      </w:divBdr>
    </w:div>
    <w:div w:id="1676422239">
      <w:bodyDiv w:val="1"/>
      <w:marLeft w:val="0"/>
      <w:marRight w:val="0"/>
      <w:marTop w:val="0"/>
      <w:marBottom w:val="0"/>
      <w:divBdr>
        <w:top w:val="none" w:sz="0" w:space="0" w:color="auto"/>
        <w:left w:val="none" w:sz="0" w:space="0" w:color="auto"/>
        <w:bottom w:val="none" w:sz="0" w:space="0" w:color="auto"/>
        <w:right w:val="none" w:sz="0" w:space="0" w:color="auto"/>
      </w:divBdr>
    </w:div>
    <w:div w:id="2009598512">
      <w:bodyDiv w:val="1"/>
      <w:marLeft w:val="0"/>
      <w:marRight w:val="0"/>
      <w:marTop w:val="0"/>
      <w:marBottom w:val="0"/>
      <w:divBdr>
        <w:top w:val="none" w:sz="0" w:space="0" w:color="auto"/>
        <w:left w:val="none" w:sz="0" w:space="0" w:color="auto"/>
        <w:bottom w:val="none" w:sz="0" w:space="0" w:color="auto"/>
        <w:right w:val="none" w:sz="0" w:space="0" w:color="auto"/>
      </w:divBdr>
    </w:div>
    <w:div w:id="20645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tsou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A9A8-3FC7-442B-9DBB-54685199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4908</Words>
  <Characters>2798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Гайдіна</dc:creator>
  <cp:keywords/>
  <dc:description/>
  <cp:lastModifiedBy>Альона Гайдіна</cp:lastModifiedBy>
  <cp:revision>9</cp:revision>
  <cp:lastPrinted>2024-11-18T08:26:00Z</cp:lastPrinted>
  <dcterms:created xsi:type="dcterms:W3CDTF">2024-06-19T13:54:00Z</dcterms:created>
  <dcterms:modified xsi:type="dcterms:W3CDTF">2024-11-18T09:02:00Z</dcterms:modified>
</cp:coreProperties>
</file>