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678"/>
        </w:tabs>
        <w:jc w:val="righ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ТЕХНОЛОГІЧНА КАРТКА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„ВЗЯТТЯ НА ОБЛІК ДЛЯ ЗАБЕЗПЕЧЕННЯ САНАТОРНО-КУРОРТНИМ ЛІКУВАННЯМ (ПУТІВКАМИ) ОСІБ З ІНВАЛІДНІСТЮ”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"/>
        <w:gridCol w:w="4215"/>
        <w:gridCol w:w="1708"/>
        <w:gridCol w:w="1477.0000000000005"/>
        <w:gridCol w:w="1185"/>
        <w:gridCol w:w="1133.9999999999998"/>
        <w:tblGridChange w:id="0">
          <w:tblGrid>
            <w:gridCol w:w="487"/>
            <w:gridCol w:w="4215"/>
            <w:gridCol w:w="1708"/>
            <w:gridCol w:w="1477.0000000000005"/>
            <w:gridCol w:w="1185"/>
            <w:gridCol w:w="1133.999999999999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rtl w:val="0"/>
              </w:rPr>
              <w:t xml:space="preserve">                  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взяття на облік (не взяття)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взяття на облік (не взяття)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