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ind w:left="426" w:firstLine="0"/>
        <w:jc w:val="left"/>
        <w:rPr>
          <w:rFonts w:ascii="Times New Roman" w:cs="Times New Roman" w:eastAsia="Times New Roman" w:hAnsi="Times New Roman"/>
          <w:smallCaps w:val="0"/>
          <w:color w:val="000000"/>
          <w:sz w:val="24"/>
          <w:szCs w:val="24"/>
        </w:rPr>
      </w:pPr>
      <w:r w:rsidDel="00000000" w:rsidR="00000000" w:rsidRPr="00000000">
        <w:rPr>
          <w:rFonts w:ascii="Times New Roman" w:cs="Times New Roman" w:eastAsia="Times New Roman" w:hAnsi="Times New Roman"/>
          <w:smallCaps w:val="0"/>
          <w:color w:val="000000"/>
          <w:sz w:val="24"/>
          <w:szCs w:val="24"/>
          <w:rtl w:val="0"/>
        </w:rPr>
        <w:t xml:space="preserve">                                                                                                ЗАТВЕРДЖУЮ</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ind w:right="-143"/>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Начальник управління </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ind w:right="-143"/>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соціального захисту населення</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ind w:right="-143"/>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Львівської районної державної</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ind w:right="-143"/>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адміністрації</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ind w:right="-143"/>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________________ О.ФИЛИПІВ</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ind w:right="-143"/>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МП</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 ІНФОРМАЦІЙНА КАРТКА </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tabs>
          <w:tab w:val="left" w:leader="none" w:pos="3969"/>
        </w:tabs>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адміністративної послуги </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„ВЗЯТТЯ НА ОБЛІК ДЛЯ ЗАБЕЗПЕЧЕННЯ САНАТОРНО-КУРОРТНИМ ЛІКУВАННЯМ (ПУТІВКАМИ) ветеранів війни та осІб, на яких поширюється дія законів УКРАЇНИ „ПРО СТАТУС ВЕТЕРАНІВ ВІЙНИ, ГАРАНТІЇ ЇХ СОЦІАЛЬНОГО ЗАХИСТУ” ТА „ПРО ЖЕРТВИ НАЦИСТСЬКИХ ПЕРЕСЛІДУВАНЬ”</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0"/>
          <w:szCs w:val="20"/>
        </w:rPr>
      </w:pPr>
      <w:r w:rsidDel="00000000" w:rsidR="00000000" w:rsidRPr="00000000">
        <w:rPr>
          <w:rFonts w:ascii="Times New Roman" w:cs="Times New Roman" w:eastAsia="Times New Roman" w:hAnsi="Times New Roman"/>
          <w:smallCaps w:val="0"/>
          <w:sz w:val="20"/>
          <w:szCs w:val="20"/>
          <w:rtl w:val="0"/>
        </w:rPr>
        <w:t xml:space="preserve">________________________________________________________________________________________________</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120" w:lineRule="auto"/>
        <w:jc w:val="center"/>
        <w:rPr>
          <w:rFonts w:ascii="Times New Roman" w:cs="Times New Roman" w:eastAsia="Times New Roman" w:hAnsi="Times New Roman"/>
          <w:smallCaps w:val="0"/>
          <w:sz w:val="20"/>
          <w:szCs w:val="20"/>
        </w:rPr>
      </w:pPr>
      <w:r w:rsidDel="00000000" w:rsidR="00000000" w:rsidRPr="00000000">
        <w:rPr>
          <w:rFonts w:ascii="Times New Roman" w:cs="Times New Roman" w:eastAsia="Times New Roman" w:hAnsi="Times New Roman"/>
          <w:smallCaps w:val="0"/>
          <w:sz w:val="20"/>
          <w:szCs w:val="20"/>
          <w:rtl w:val="0"/>
        </w:rPr>
        <w:t xml:space="preserve">(найменування суб’єкта надання адміністративної послуги та / або центру надання адміністративних послуг)</w:t>
      </w:r>
    </w:p>
    <w:tbl>
      <w:tblPr>
        <w:tblStyle w:val="Table1"/>
        <w:tblW w:w="963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9"/>
        <w:gridCol w:w="2994"/>
        <w:gridCol w:w="6236"/>
        <w:tblGridChange w:id="0">
          <w:tblGrid>
            <w:gridCol w:w="409"/>
            <w:gridCol w:w="2994"/>
            <w:gridCol w:w="6236"/>
          </w:tblGrid>
        </w:tblGridChange>
      </w:tblGrid>
      <w:tr>
        <w:trPr>
          <w:cantSplit w:val="0"/>
          <w:tblHeader w:val="0"/>
        </w:trPr>
        <w:tc>
          <w:tcPr>
            <w:gridSpan w:val="3"/>
            <w:shd w:fill="auto" w:val="clear"/>
            <w:tcMar>
              <w:top w:w="60.0" w:type="dxa"/>
              <w:left w:w="60.0" w:type="dxa"/>
              <w:bottom w:w="60.0" w:type="dxa"/>
              <w:right w:w="60.0" w:type="dxa"/>
            </w:tcMar>
            <w:vAlign w:val="top"/>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Інформація про суб’єкт надання адміністративної послуги та / або центр надання адміністративних послуг</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w:t>
            </w:r>
          </w:p>
        </w:tc>
        <w:tc>
          <w:tcPr>
            <w:shd w:fill="auto" w:val="clear"/>
            <w:tcMar>
              <w:top w:w="60.0" w:type="dxa"/>
              <w:left w:w="60.0" w:type="dxa"/>
              <w:bottom w:w="60.0" w:type="dxa"/>
              <w:right w:w="60.0" w:type="dxa"/>
            </w:tcMar>
            <w:vAlign w:val="top"/>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Місцезнаходження </w:t>
            </w:r>
          </w:p>
        </w:tc>
        <w:tc>
          <w:tcPr>
            <w:shd w:fill="auto" w:val="clear"/>
            <w:tcMar>
              <w:top w:w="60.0" w:type="dxa"/>
              <w:left w:w="60.0" w:type="dxa"/>
              <w:bottom w:w="60.0" w:type="dxa"/>
              <w:right w:w="60.0" w:type="dxa"/>
            </w:tcMar>
            <w:vAlign w:val="top"/>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Зазначається місцезнаходження суб’єкта надання адміністративної послуги та / або центру надання адміністративних послуг</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w:t>
            </w:r>
          </w:p>
        </w:tc>
        <w:tc>
          <w:tcPr>
            <w:shd w:fill="auto" w:val="clear"/>
            <w:tcMar>
              <w:top w:w="60.0" w:type="dxa"/>
              <w:left w:w="60.0" w:type="dxa"/>
              <w:bottom w:w="60.0" w:type="dxa"/>
              <w:right w:w="60.0" w:type="dxa"/>
            </w:tcMar>
            <w:vAlign w:val="top"/>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Інформація щодо режиму роботи </w:t>
            </w:r>
          </w:p>
        </w:tc>
        <w:tc>
          <w:tcPr>
            <w:shd w:fill="auto" w:val="clear"/>
            <w:tcMar>
              <w:top w:w="60.0" w:type="dxa"/>
              <w:left w:w="60.0" w:type="dxa"/>
              <w:bottom w:w="60.0" w:type="dxa"/>
              <w:right w:w="60.0" w:type="dxa"/>
            </w:tcMar>
            <w:vAlign w:val="top"/>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Зазначається режим роботи суб’єкта надання адміністративної послуги та / або центру надання адміністративних послуг</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w:t>
            </w:r>
          </w:p>
        </w:tc>
        <w:tc>
          <w:tcPr>
            <w:shd w:fill="auto" w:val="clear"/>
            <w:tcMar>
              <w:top w:w="60.0" w:type="dxa"/>
              <w:left w:w="60.0" w:type="dxa"/>
              <w:bottom w:w="60.0" w:type="dxa"/>
              <w:right w:w="60.0" w:type="dxa"/>
            </w:tcMar>
            <w:vAlign w:val="top"/>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Телефон / факс, електронна  адреса, офіційний веб-сайт </w:t>
            </w:r>
          </w:p>
        </w:tc>
        <w:tc>
          <w:tcPr>
            <w:shd w:fill="auto" w:val="clear"/>
            <w:tcMar>
              <w:top w:w="60.0" w:type="dxa"/>
              <w:left w:w="60.0" w:type="dxa"/>
              <w:bottom w:w="60.0" w:type="dxa"/>
              <w:right w:w="60.0" w:type="dxa"/>
            </w:tcMar>
            <w:vAlign w:val="top"/>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Зазначається телефон / факс, електронна адреса, офіційний веб-сайт суб’єкта надання адміністративної послуги та / або центру надання адміністративних послуг</w:t>
            </w:r>
          </w:p>
        </w:tc>
      </w:tr>
      <w:tr>
        <w:trPr>
          <w:cantSplit w:val="0"/>
          <w:tblHeader w:val="0"/>
        </w:trPr>
        <w:tc>
          <w:tcPr>
            <w:gridSpan w:val="3"/>
            <w:shd w:fill="auto" w:val="clear"/>
            <w:tcMar>
              <w:top w:w="60.0" w:type="dxa"/>
              <w:left w:w="60.0" w:type="dxa"/>
              <w:bottom w:w="60.0" w:type="dxa"/>
              <w:right w:w="60.0" w:type="dxa"/>
            </w:tcMar>
            <w:vAlign w:val="top"/>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Нормативні акти, якими регламентується надання адміністративної послуги</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w:t>
            </w:r>
          </w:p>
        </w:tc>
        <w:tc>
          <w:tcPr>
            <w:shd w:fill="auto" w:val="clear"/>
            <w:tcMar>
              <w:top w:w="60.0" w:type="dxa"/>
              <w:left w:w="60.0" w:type="dxa"/>
              <w:bottom w:w="60.0" w:type="dxa"/>
              <w:right w:w="60.0" w:type="dxa"/>
            </w:tcMar>
            <w:vAlign w:val="top"/>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Закони України</w:t>
            </w:r>
          </w:p>
        </w:tc>
        <w:tc>
          <w:tcPr>
            <w:shd w:fill="auto" w:val="clear"/>
            <w:tcMar>
              <w:top w:w="60.0" w:type="dxa"/>
              <w:left w:w="60.0" w:type="dxa"/>
              <w:bottom w:w="60.0" w:type="dxa"/>
              <w:right w:w="60.0" w:type="dxa"/>
            </w:tcMa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95"/>
              </w:tabs>
              <w:spacing w:after="0" w:before="0" w:line="240" w:lineRule="auto"/>
              <w:ind w:left="0" w:right="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 України „Про статус ветеранів війни, гарантії соціального захисту” від 22.10.1993 № 3551-ХІІ, „Про жертви нацистських переслідувань” від 23.03.2000 № 1584-ІІІ</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w:t>
            </w:r>
          </w:p>
        </w:tc>
        <w:tc>
          <w:tcPr>
            <w:shd w:fill="auto" w:val="clear"/>
            <w:tcMar>
              <w:top w:w="60.0" w:type="dxa"/>
              <w:left w:w="60.0" w:type="dxa"/>
              <w:bottom w:w="60.0" w:type="dxa"/>
              <w:right w:w="60.0" w:type="dxa"/>
            </w:tcMar>
            <w:vAlign w:val="top"/>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Акти Кабінету Міністрів України</w:t>
            </w:r>
          </w:p>
        </w:tc>
        <w:tc>
          <w:tcPr>
            <w:shd w:fill="auto" w:val="clear"/>
            <w:tcMar>
              <w:top w:w="60.0" w:type="dxa"/>
              <w:left w:w="60.0" w:type="dxa"/>
              <w:bottom w:w="60.0" w:type="dxa"/>
              <w:right w:w="60.0" w:type="dxa"/>
            </w:tcMa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Постанова Кабінету Міністрів України від 22.02.2006 № 187 „Про затвердження Порядку забезпечення санаторно-курортними путівками деяких категорій громадян структурними підрозділами з питань соціального захисту населення районних, районних у м. Києві держадміністрацій, виконавчими органами міських, районних у містах (у разі їх утворення  (крім м. Києва) рад”; постанова Кабінету Міністрів України від 01.03.2017 № 110 „Про затвердження Порядку використання коштів, передбачених у державному бюджеті для забезпечення деяких категорій інвалідів санаторно-курортними путівками, та внесення змін до порядків, затверджених постановами Кабінету Міністрів України від 22 лютого 2006 р. № 187 і від 31 березня 2015 р. № 200”; постанова Кабінету Міністрів України від 22.08.2018 № 633 „Про внесення змін до постанови Кабінету Міністрів України від 22 лютого 2006 р. № 187”; постанова Кабінету Міністрів України від 27.02.2019 № 147 „Про внесення змін до деяких постанов Кабінету Міністрів України”</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w:t>
            </w:r>
          </w:p>
        </w:tc>
        <w:tc>
          <w:tcPr>
            <w:shd w:fill="auto" w:val="clear"/>
            <w:tcMar>
              <w:top w:w="60.0" w:type="dxa"/>
              <w:left w:w="60.0" w:type="dxa"/>
              <w:bottom w:w="60.0" w:type="dxa"/>
              <w:right w:w="60.0" w:type="dxa"/>
            </w:tcMar>
            <w:vAlign w:val="top"/>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Акти центральних органів виконавчої влади</w:t>
            </w:r>
          </w:p>
        </w:tc>
        <w:tc>
          <w:tcPr>
            <w:shd w:fill="auto" w:val="clear"/>
            <w:tcMar>
              <w:top w:w="60.0" w:type="dxa"/>
              <w:left w:w="60.0" w:type="dxa"/>
              <w:bottom w:w="60.0" w:type="dxa"/>
              <w:right w:w="60.0" w:type="dxa"/>
            </w:tcMar>
            <w:vAlign w:val="top"/>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Наказ Міністерства соціальної політики                               від 22.01.2018  № 73 „Про затвердження форм документів щодо забезпечення структурними підрозділами з питань соціального захисту населення санаторно-курортним лікуванням осіб пільгових категорій”, зареєстрований                             в Міністерстві юстиції України 13.02.2018                                 за  № 163/31615; </w:t>
            </w:r>
            <w:hyperlink r:id="rId6">
              <w:r w:rsidDel="00000000" w:rsidR="00000000" w:rsidRPr="00000000">
                <w:rPr>
                  <w:rFonts w:ascii="Times New Roman" w:cs="Times New Roman" w:eastAsia="Times New Roman" w:hAnsi="Times New Roman"/>
                  <w:smallCaps w:val="0"/>
                  <w:sz w:val="24"/>
                  <w:szCs w:val="24"/>
                  <w:rtl w:val="0"/>
                </w:rPr>
                <w:t xml:space="preserve">наказ Міністерства охорони здоров’я України від 06.02.2008  № 56 „Про затвердження клінічних протоколів санаторно-курортного лікування в санаторно-курортних закладах (крім туберкульозного профілю) для дорослого населення”</w:t>
              </w:r>
            </w:hyperlink>
            <w:r w:rsidDel="00000000" w:rsidR="00000000" w:rsidRPr="00000000">
              <w:rPr>
                <w:rtl w:val="0"/>
              </w:rPr>
            </w:r>
          </w:p>
        </w:tc>
      </w:tr>
      <w:tr>
        <w:trPr>
          <w:cantSplit w:val="0"/>
          <w:tblHeader w:val="0"/>
        </w:trPr>
        <w:tc>
          <w:tcPr>
            <w:gridSpan w:val="3"/>
            <w:shd w:fill="auto" w:val="clear"/>
            <w:tcMar>
              <w:top w:w="60.0" w:type="dxa"/>
              <w:left w:w="60.0" w:type="dxa"/>
              <w:bottom w:w="60.0" w:type="dxa"/>
              <w:right w:w="60.0" w:type="dxa"/>
            </w:tcMar>
            <w:vAlign w:val="top"/>
          </w:tcPr>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Умови отримання адміністративної послуги</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w:t>
            </w:r>
          </w:p>
        </w:tc>
        <w:tc>
          <w:tcPr>
            <w:shd w:fill="auto" w:val="clear"/>
            <w:tcMar>
              <w:top w:w="60.0" w:type="dxa"/>
              <w:left w:w="60.0" w:type="dxa"/>
              <w:bottom w:w="60.0" w:type="dxa"/>
              <w:right w:w="60.0" w:type="dxa"/>
            </w:tcMar>
            <w:vAlign w:val="top"/>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Підстава для отримання </w:t>
            </w:r>
          </w:p>
        </w:tc>
        <w:tc>
          <w:tcPr>
            <w:shd w:fill="auto" w:val="clear"/>
            <w:tcMar>
              <w:top w:w="60.0" w:type="dxa"/>
              <w:left w:w="60.0" w:type="dxa"/>
              <w:bottom w:w="60.0" w:type="dxa"/>
              <w:right w:w="60.0" w:type="dxa"/>
            </w:tcMar>
            <w:vAlign w:val="top"/>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Наявність медичних показань для забезпечення санаторно-курортним лікуванням</w:t>
            </w:r>
            <w:r w:rsidDel="00000000" w:rsidR="00000000" w:rsidRPr="00000000">
              <w:rPr>
                <w:rFonts w:ascii="Times New Roman" w:cs="Times New Roman" w:eastAsia="Times New Roman" w:hAnsi="Times New Roman"/>
                <w:smallCaps w:val="0"/>
                <w:rtl w:val="0"/>
              </w:rPr>
              <w:t xml:space="preserve"> </w:t>
            </w:r>
            <w:r w:rsidDel="00000000" w:rsidR="00000000" w:rsidRPr="00000000">
              <w:rPr>
                <w:rFonts w:ascii="Times New Roman" w:cs="Times New Roman" w:eastAsia="Times New Roman" w:hAnsi="Times New Roman"/>
                <w:smallCaps w:val="0"/>
                <w:sz w:val="24"/>
                <w:szCs w:val="24"/>
                <w:rtl w:val="0"/>
              </w:rPr>
              <w:t xml:space="preserve">ветеранів війни та осіб, на яких поширюється дія Законів України „Про статус ветеранів війни, гарантії їх соціального захисту” та „Про жертви нацистських переслідувань”</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w:t>
            </w:r>
          </w:p>
        </w:tc>
        <w:tc>
          <w:tcPr>
            <w:shd w:fill="auto" w:val="clear"/>
            <w:tcMar>
              <w:top w:w="60.0" w:type="dxa"/>
              <w:left w:w="60.0" w:type="dxa"/>
              <w:bottom w:w="60.0" w:type="dxa"/>
              <w:right w:w="60.0" w:type="dxa"/>
            </w:tcMar>
            <w:vAlign w:val="top"/>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Перелік необхідних документів</w:t>
            </w:r>
          </w:p>
        </w:tc>
        <w:tc>
          <w:tcPr>
            <w:shd w:fill="auto" w:val="clear"/>
            <w:tcMar>
              <w:top w:w="60.0" w:type="dxa"/>
              <w:left w:w="60.0" w:type="dxa"/>
              <w:bottom w:w="60.0" w:type="dxa"/>
              <w:right w:w="60.0" w:type="dxa"/>
            </w:tcMar>
            <w:vAlign w:val="top"/>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 за формою, затвердженою Мінсоцполітики;</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Times New Roman" w:cs="Times New Roman" w:eastAsia="Times New Roman" w:hAnsi="Times New Roman"/>
                <w:smallCaps w:val="0"/>
                <w:sz w:val="24"/>
                <w:szCs w:val="24"/>
              </w:rPr>
            </w:pPr>
            <w:hyperlink r:id="rId7">
              <w:r w:rsidDel="00000000" w:rsidR="00000000" w:rsidRPr="00000000">
                <w:rPr>
                  <w:rFonts w:ascii="Times New Roman" w:cs="Times New Roman" w:eastAsia="Times New Roman" w:hAnsi="Times New Roman"/>
                  <w:smallCaps w:val="0"/>
                  <w:sz w:val="24"/>
                  <w:szCs w:val="24"/>
                  <w:rtl w:val="0"/>
                </w:rPr>
                <w:t xml:space="preserve">медична довідка</w:t>
              </w:r>
            </w:hyperlink>
            <w:r w:rsidDel="00000000" w:rsidR="00000000" w:rsidRPr="00000000">
              <w:rPr>
                <w:rFonts w:ascii="Times New Roman" w:cs="Times New Roman" w:eastAsia="Times New Roman" w:hAnsi="Times New Roman"/>
                <w:smallCaps w:val="0"/>
                <w:sz w:val="24"/>
                <w:szCs w:val="24"/>
                <w:rtl w:val="0"/>
              </w:rPr>
              <w:t xml:space="preserve"> закладу охорони здоров’я за формою № 070/о;</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посвідчення особи, що підтверджує її належність до осіб пільгової категорії;</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облікові дані про одержання путівок чи отримання грошової компенсації замість санаторно-курортної путівки</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w:t>
            </w:r>
          </w:p>
        </w:tc>
        <w:tc>
          <w:tcPr>
            <w:shd w:fill="auto" w:val="clear"/>
            <w:tcMar>
              <w:top w:w="60.0" w:type="dxa"/>
              <w:left w:w="60.0" w:type="dxa"/>
              <w:bottom w:w="60.0" w:type="dxa"/>
              <w:right w:w="60.0" w:type="dxa"/>
            </w:tcMar>
            <w:vAlign w:val="top"/>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Спосіб подання документів </w:t>
            </w:r>
          </w:p>
        </w:tc>
        <w:tc>
          <w:tcPr>
            <w:shd w:fill="auto" w:val="clear"/>
            <w:tcMar>
              <w:top w:w="60.0" w:type="dxa"/>
              <w:left w:w="60.0" w:type="dxa"/>
              <w:bottom w:w="60.0" w:type="dxa"/>
              <w:right w:w="60.0" w:type="dxa"/>
            </w:tcMar>
            <w:vAlign w:val="top"/>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Заява та документи, необхідні для взяття на облік для забезпечення санаторно-курортним лікуванням (путівками) ветеранів війни та осіб, на яких поширюється дія Законів України „Про статус ветеранів війни, гарантії їх соціального захисту” та „Про жертви нацистських переслідувань”, подаються особою суб’єкту надання адміністративної послуги:</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через уповноважених осіб виконавчого органу сільської, селищної, міської ради відповідної територіальної громади; посадових осіб центру надання адміністративних послуг;</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поштою або в електронній формі через офіційний веб-сайт Мінсоцполітики або інтегровані з ним інформаційні системи органів виконавчої влади та органів місцевого самоврядування, або Єдиний державний веб-портал електронних послуг (у разі технічної можливості)*</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w:t>
            </w:r>
          </w:p>
        </w:tc>
        <w:tc>
          <w:tcPr>
            <w:shd w:fill="auto" w:val="clear"/>
            <w:tcMar>
              <w:top w:w="60.0" w:type="dxa"/>
              <w:left w:w="60.0" w:type="dxa"/>
              <w:bottom w:w="60.0" w:type="dxa"/>
              <w:right w:w="60.0" w:type="dxa"/>
            </w:tcMar>
            <w:vAlign w:val="top"/>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Платність (безоплатність) надання </w:t>
            </w:r>
          </w:p>
        </w:tc>
        <w:tc>
          <w:tcPr>
            <w:shd w:fill="auto" w:val="clear"/>
            <w:tcMar>
              <w:top w:w="60.0" w:type="dxa"/>
              <w:left w:w="60.0" w:type="dxa"/>
              <w:bottom w:w="60.0" w:type="dxa"/>
              <w:right w:w="60.0" w:type="dxa"/>
            </w:tcMar>
            <w:vAlign w:val="top"/>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Послуга надається на безоплатній основі</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w:t>
            </w:r>
          </w:p>
        </w:tc>
        <w:tc>
          <w:tcPr>
            <w:shd w:fill="auto" w:val="clear"/>
            <w:tcMar>
              <w:top w:w="60.0" w:type="dxa"/>
              <w:left w:w="60.0" w:type="dxa"/>
              <w:bottom w:w="60.0" w:type="dxa"/>
              <w:right w:w="60.0" w:type="dxa"/>
            </w:tcMar>
            <w:vAlign w:val="top"/>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Строк надання </w:t>
            </w:r>
          </w:p>
        </w:tc>
        <w:tc>
          <w:tcPr>
            <w:shd w:fill="auto" w:val="clear"/>
            <w:tcMar>
              <w:top w:w="60.0" w:type="dxa"/>
              <w:left w:w="60.0" w:type="dxa"/>
              <w:bottom w:w="60.0" w:type="dxa"/>
              <w:right w:w="60.0" w:type="dxa"/>
            </w:tcMar>
            <w:vAlign w:val="top"/>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Особи з інвалідністю внаслідок війни та особи з інвалідністю, зазначені у </w:t>
            </w:r>
            <w:hyperlink r:id="rId8">
              <w:r w:rsidDel="00000000" w:rsidR="00000000" w:rsidRPr="00000000">
                <w:rPr>
                  <w:rFonts w:ascii="Times New Roman" w:cs="Times New Roman" w:eastAsia="Times New Roman" w:hAnsi="Times New Roman"/>
                  <w:smallCaps w:val="0"/>
                  <w:sz w:val="24"/>
                  <w:szCs w:val="24"/>
                  <w:rtl w:val="0"/>
                </w:rPr>
                <w:t xml:space="preserve">статті 6</w:t>
              </w:r>
            </w:hyperlink>
            <w:r w:rsidDel="00000000" w:rsidR="00000000" w:rsidRPr="00000000">
              <w:rPr>
                <w:rFonts w:ascii="Times New Roman" w:cs="Times New Roman" w:eastAsia="Times New Roman" w:hAnsi="Times New Roman"/>
                <w:smallCaps w:val="0"/>
                <w:sz w:val="24"/>
                <w:szCs w:val="24"/>
                <w:vertAlign w:val="superscript"/>
                <w:rtl w:val="0"/>
              </w:rPr>
              <w:t xml:space="preserve">2</w:t>
            </w:r>
            <w:hyperlink r:id="rId9">
              <w:r w:rsidDel="00000000" w:rsidR="00000000" w:rsidRPr="00000000">
                <w:rPr>
                  <w:rFonts w:ascii="Times New Roman" w:cs="Times New Roman" w:eastAsia="Times New Roman" w:hAnsi="Times New Roman"/>
                  <w:smallCaps w:val="0"/>
                  <w:sz w:val="24"/>
                  <w:szCs w:val="24"/>
                  <w:rtl w:val="0"/>
                </w:rPr>
                <w:t xml:space="preserve"> </w:t>
              </w:r>
            </w:hyperlink>
            <w:r w:rsidDel="00000000" w:rsidR="00000000" w:rsidRPr="00000000">
              <w:rPr>
                <w:rFonts w:ascii="Times New Roman" w:cs="Times New Roman" w:eastAsia="Times New Roman" w:hAnsi="Times New Roman"/>
                <w:smallCaps w:val="0"/>
                <w:sz w:val="24"/>
                <w:szCs w:val="24"/>
                <w:rtl w:val="0"/>
              </w:rPr>
              <w:t xml:space="preserve">Закону України „Про жертви нацистських переслідувань” забезпечуються путівками строком на 18-21 день позачергово щороку (із січня по грудень);</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особи з інвалідністю внаслідок війни з числа осіб, які брали безпосередню участь у бойових діях під час Другої світової війни, безоплатно забезпечуються санаторно-курортним лікуванням строком на 18-21 день першочергово з числа позачерговиків щороку (із січня до грудня);</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учасники бойових дій та особи, зазначені у </w:t>
            </w:r>
            <w:hyperlink r:id="rId10">
              <w:r w:rsidDel="00000000" w:rsidR="00000000" w:rsidRPr="00000000">
                <w:rPr>
                  <w:rFonts w:ascii="Times New Roman" w:cs="Times New Roman" w:eastAsia="Times New Roman" w:hAnsi="Times New Roman"/>
                  <w:smallCaps w:val="0"/>
                  <w:sz w:val="24"/>
                  <w:szCs w:val="24"/>
                  <w:rtl w:val="0"/>
                </w:rPr>
                <w:t xml:space="preserve">статті 6</w:t>
              </w:r>
            </w:hyperlink>
            <w:r w:rsidDel="00000000" w:rsidR="00000000" w:rsidRPr="00000000">
              <w:rPr>
                <w:rFonts w:ascii="Times New Roman" w:cs="Times New Roman" w:eastAsia="Times New Roman" w:hAnsi="Times New Roman"/>
                <w:smallCaps w:val="0"/>
                <w:sz w:val="24"/>
                <w:szCs w:val="24"/>
                <w:vertAlign w:val="superscript"/>
                <w:rtl w:val="0"/>
              </w:rPr>
              <w:t xml:space="preserve">1</w:t>
            </w:r>
            <w:r w:rsidDel="00000000" w:rsidR="00000000" w:rsidRPr="00000000">
              <w:rPr>
                <w:rFonts w:ascii="Times New Roman" w:cs="Times New Roman" w:eastAsia="Times New Roman" w:hAnsi="Times New Roman"/>
                <w:smallCaps w:val="0"/>
                <w:sz w:val="24"/>
                <w:szCs w:val="24"/>
                <w:rtl w:val="0"/>
              </w:rPr>
              <w:t xml:space="preserve"> Закону України „Про жертви нацистських переслідувань”, забезпечуються путівками строком на 18-21 день не частіше ніж один раз на рік;</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учасники бойових дій у період Другої світової війни, яким виповнилося 85 років і більше, забезпечуються путівками строком на 18-21 день позачергово щороку (із січня до грудня);</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учасники війни, особи, на яких поширюється чинність </w:t>
            </w:r>
            <w:hyperlink r:id="rId11">
              <w:r w:rsidDel="00000000" w:rsidR="00000000" w:rsidRPr="00000000">
                <w:rPr>
                  <w:rFonts w:ascii="Times New Roman" w:cs="Times New Roman" w:eastAsia="Times New Roman" w:hAnsi="Times New Roman"/>
                  <w:smallCaps w:val="0"/>
                  <w:sz w:val="24"/>
                  <w:szCs w:val="24"/>
                  <w:rtl w:val="0"/>
                </w:rPr>
                <w:t xml:space="preserve">Закону України</w:t>
              </w:r>
            </w:hyperlink>
            <w:r w:rsidDel="00000000" w:rsidR="00000000" w:rsidRPr="00000000">
              <w:rPr>
                <w:rFonts w:ascii="Times New Roman" w:cs="Times New Roman" w:eastAsia="Times New Roman" w:hAnsi="Times New Roman"/>
                <w:smallCaps w:val="0"/>
                <w:sz w:val="24"/>
                <w:szCs w:val="24"/>
                <w:rtl w:val="0"/>
              </w:rPr>
              <w:t xml:space="preserve"> „Про статус ветеранів війни, гарантії їх соціального захисту”, та особи, зазначені у </w:t>
            </w:r>
            <w:hyperlink r:id="rId12">
              <w:r w:rsidDel="00000000" w:rsidR="00000000" w:rsidRPr="00000000">
                <w:rPr>
                  <w:rFonts w:ascii="Times New Roman" w:cs="Times New Roman" w:eastAsia="Times New Roman" w:hAnsi="Times New Roman"/>
                  <w:smallCaps w:val="0"/>
                  <w:sz w:val="24"/>
                  <w:szCs w:val="24"/>
                  <w:rtl w:val="0"/>
                </w:rPr>
                <w:t xml:space="preserve">статтях 6</w:t>
              </w:r>
            </w:hyperlink>
            <w:r w:rsidDel="00000000" w:rsidR="00000000" w:rsidRPr="00000000">
              <w:rPr>
                <w:rFonts w:ascii="Times New Roman" w:cs="Times New Roman" w:eastAsia="Times New Roman" w:hAnsi="Times New Roman"/>
                <w:smallCaps w:val="0"/>
                <w:sz w:val="24"/>
                <w:szCs w:val="24"/>
                <w:vertAlign w:val="superscript"/>
                <w:rtl w:val="0"/>
              </w:rPr>
              <w:t xml:space="preserve">3</w:t>
            </w:r>
            <w:r w:rsidDel="00000000" w:rsidR="00000000" w:rsidRPr="00000000">
              <w:rPr>
                <w:rFonts w:ascii="Times New Roman" w:cs="Times New Roman" w:eastAsia="Times New Roman" w:hAnsi="Times New Roman"/>
                <w:smallCaps w:val="0"/>
                <w:sz w:val="24"/>
                <w:szCs w:val="24"/>
                <w:rtl w:val="0"/>
              </w:rPr>
              <w:t xml:space="preserve"> і </w:t>
            </w:r>
            <w:hyperlink r:id="rId13">
              <w:r w:rsidDel="00000000" w:rsidR="00000000" w:rsidRPr="00000000">
                <w:rPr>
                  <w:rFonts w:ascii="Times New Roman" w:cs="Times New Roman" w:eastAsia="Times New Roman" w:hAnsi="Times New Roman"/>
                  <w:smallCaps w:val="0"/>
                  <w:sz w:val="24"/>
                  <w:szCs w:val="24"/>
                  <w:rtl w:val="0"/>
                </w:rPr>
                <w:t xml:space="preserve">6</w:t>
              </w:r>
            </w:hyperlink>
            <w:r w:rsidDel="00000000" w:rsidR="00000000" w:rsidRPr="00000000">
              <w:rPr>
                <w:rFonts w:ascii="Times New Roman" w:cs="Times New Roman" w:eastAsia="Times New Roman" w:hAnsi="Times New Roman"/>
                <w:smallCaps w:val="0"/>
                <w:sz w:val="24"/>
                <w:szCs w:val="24"/>
                <w:vertAlign w:val="superscript"/>
                <w:rtl w:val="0"/>
              </w:rPr>
              <w:t xml:space="preserve">4</w:t>
            </w:r>
            <w:r w:rsidDel="00000000" w:rsidR="00000000" w:rsidRPr="00000000">
              <w:rPr>
                <w:rFonts w:ascii="Times New Roman" w:cs="Times New Roman" w:eastAsia="Times New Roman" w:hAnsi="Times New Roman"/>
                <w:smallCaps w:val="0"/>
                <w:sz w:val="24"/>
                <w:szCs w:val="24"/>
                <w:rtl w:val="0"/>
              </w:rPr>
              <w:t xml:space="preserve"> Закону України „Про жертви нацистських переслідувань”, забезпечуються путівками строком на 18-21 день не частіше ніж один раз на два роки</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w:t>
            </w:r>
          </w:p>
        </w:tc>
        <w:tc>
          <w:tcPr>
            <w:shd w:fill="auto" w:val="clear"/>
            <w:tcMar>
              <w:top w:w="60.0" w:type="dxa"/>
              <w:left w:w="60.0" w:type="dxa"/>
              <w:bottom w:w="60.0" w:type="dxa"/>
              <w:right w:w="60.0" w:type="dxa"/>
            </w:tcMar>
            <w:vAlign w:val="top"/>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Перелік підстав для відмови у наданні </w:t>
            </w:r>
          </w:p>
        </w:tc>
        <w:tc>
          <w:tcPr>
            <w:shd w:fill="auto" w:val="clear"/>
            <w:tcMar>
              <w:top w:w="60.0" w:type="dxa"/>
              <w:left w:w="60.0" w:type="dxa"/>
              <w:bottom w:w="60.0" w:type="dxa"/>
              <w:right w:w="60.0" w:type="dxa"/>
            </w:tcMar>
            <w:vAlign w:val="top"/>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firstLine="12"/>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Подання документів до заяви не в повному обсязі, </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firstLine="12"/>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заява подана особою, яка не має права на взяття на облік для забезпечення санаторно-курортним лікуванням;</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ind w:firstLine="20"/>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забезпечення путівками осіб здійснюється в межах коштів, передбачених на зазначену мету в державному та місцевих бюджетах на поточний рік</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13</w:t>
            </w:r>
          </w:p>
        </w:tc>
        <w:tc>
          <w:tcPr>
            <w:shd w:fill="auto" w:val="clear"/>
            <w:tcMar>
              <w:top w:w="60.0" w:type="dxa"/>
              <w:left w:w="60.0" w:type="dxa"/>
              <w:bottom w:w="60.0" w:type="dxa"/>
              <w:right w:w="60.0" w:type="dxa"/>
            </w:tcMar>
            <w:vAlign w:val="top"/>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Результат надання адміністративної послуги</w:t>
            </w:r>
          </w:p>
        </w:tc>
        <w:tc>
          <w:tcPr>
            <w:shd w:fill="auto" w:val="clear"/>
            <w:tcMar>
              <w:top w:w="60.0" w:type="dxa"/>
              <w:left w:w="60.0" w:type="dxa"/>
              <w:bottom w:w="60.0" w:type="dxa"/>
              <w:right w:w="60.0" w:type="dxa"/>
            </w:tcMar>
            <w:vAlign w:val="top"/>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tabs>
                <w:tab w:val="left" w:leader="none" w:pos="1565"/>
              </w:tabs>
              <w:ind w:firstLine="20"/>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Забезпечення санаторно-курортною путівкою / відмова забезпечені санаторно-курортною путівкою</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14</w:t>
            </w:r>
          </w:p>
        </w:tc>
        <w:tc>
          <w:tcPr>
            <w:shd w:fill="auto" w:val="clear"/>
            <w:tcMar>
              <w:top w:w="60.0" w:type="dxa"/>
              <w:left w:w="60.0" w:type="dxa"/>
              <w:bottom w:w="60.0" w:type="dxa"/>
              <w:right w:w="60.0" w:type="dxa"/>
            </w:tcMar>
            <w:vAlign w:val="top"/>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Способи отримання відповіді (результату)</w:t>
            </w:r>
          </w:p>
        </w:tc>
        <w:tc>
          <w:tcPr>
            <w:shd w:fill="auto" w:val="clear"/>
            <w:tcMar>
              <w:top w:w="60.0" w:type="dxa"/>
              <w:left w:w="60.0" w:type="dxa"/>
              <w:bottom w:w="60.0" w:type="dxa"/>
              <w:right w:w="60.0" w:type="dxa"/>
            </w:tcMar>
            <w:vAlign w:val="top"/>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ind w:firstLine="20"/>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Особисто або через законного представника: по телефону або  поштою</w:t>
            </w:r>
          </w:p>
        </w:tc>
      </w:tr>
    </w:tbl>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tl w:val="0"/>
        </w:rPr>
      </w:r>
    </w:p>
    <w:sectPr>
      <w:headerReference r:id="rId14" w:type="default"/>
      <w:pgSz w:h="16838" w:w="11906" w:orient="portrait"/>
      <w:pgMar w:bottom="1134" w:top="1134" w:left="1701" w:right="5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8"/>
        <w:szCs w:val="28"/>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32"/>
      <w:szCs w:val="32"/>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i w:val="1"/>
      <w:iCs w:val="1"/>
      <w:smallCaps w:val="0"/>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i w:val="1"/>
      <w:iCs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2"/>
      <w:szCs w:val="22"/>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bCs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0" Type="http://schemas.openxmlformats.org/officeDocument/2006/relationships/hyperlink" Target="https://zakon.rada.gov.ua/laws/show/1584-14#_blank" TargetMode="External"/><Relationship Id="rId13" Type="http://schemas.openxmlformats.org/officeDocument/2006/relationships/hyperlink" Target="https://zakon.rada.gov.ua/laws/show/1584-14#_blank" TargetMode="External"/><Relationship Id="rId12" Type="http://schemas.openxmlformats.org/officeDocument/2006/relationships/hyperlink" Target="https://zakon.rada.gov.ua/laws/show/1584-14#_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kon.rada.gov.ua/laws/show/1584-14#_blank"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yperlink" Target="https://zakon.rada.gov.ua/laws/show/z0680-12#_blank" TargetMode="External"/><Relationship Id="rId8" Type="http://schemas.openxmlformats.org/officeDocument/2006/relationships/hyperlink" Target="https://zakon.rada.gov.ua/laws/show/1584-14#_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