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ind w:left="426" w:firstLine="0"/>
        <w:rPr>
          <w:b w:val="1"/>
          <w:bCs w:val="1"/>
          <w:smallCaps w:val="0"/>
          <w:sz w:val="28"/>
          <w:szCs w:val="28"/>
        </w:rPr>
      </w:pPr>
      <w:r w:rsidDel="00000000" w:rsidR="00000000" w:rsidRPr="00000000">
        <w:rPr>
          <w:b w:val="1"/>
          <w:bCs w:val="1"/>
          <w:smallCaps w:val="0"/>
          <w:sz w:val="28"/>
          <w:szCs w:val="28"/>
          <w:rtl w:val="0"/>
        </w:rPr>
        <w:t xml:space="preserve">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ind w:left="426" w:firstLine="0"/>
        <w:rPr>
          <w:smallCaps w:val="0"/>
          <w:color w:val="000000"/>
        </w:rPr>
      </w:pPr>
      <w:r w:rsidDel="00000000" w:rsidR="00000000" w:rsidRPr="00000000">
        <w:rPr>
          <w:b w:val="1"/>
          <w:bCs w:val="1"/>
          <w:smallCaps w:val="0"/>
          <w:sz w:val="28"/>
          <w:szCs w:val="28"/>
          <w:rtl w:val="0"/>
        </w:rPr>
        <w:t xml:space="preserve">                                                                                 </w:t>
      </w:r>
      <w:r w:rsidDel="00000000" w:rsidR="00000000" w:rsidRPr="00000000">
        <w:rPr>
          <w:smallCaps w:val="0"/>
          <w:color w:val="000000"/>
          <w:rtl w:val="0"/>
        </w:rPr>
        <w:t xml:space="preserve">ЗАТВЕРДЖУЮ</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ind w:right="-1"/>
        <w:rPr>
          <w:smallCaps w:val="0"/>
          <w:color w:val="000000"/>
        </w:rPr>
      </w:pPr>
      <w:r w:rsidDel="00000000" w:rsidR="00000000" w:rsidRPr="00000000">
        <w:rPr>
          <w:smallCaps w:val="0"/>
          <w:color w:val="000000"/>
          <w:rtl w:val="0"/>
        </w:rPr>
        <w:t xml:space="preserve">                                                                                                     Начальник управління</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ind w:right="-1"/>
        <w:rPr>
          <w:smallCaps w:val="0"/>
          <w:color w:val="000000"/>
        </w:rPr>
      </w:pPr>
      <w:r w:rsidDel="00000000" w:rsidR="00000000" w:rsidRPr="00000000">
        <w:rPr>
          <w:smallCaps w:val="0"/>
          <w:color w:val="000000"/>
          <w:rtl w:val="0"/>
        </w:rPr>
        <w:t xml:space="preserve">                                                                                                     соціального захисту населення</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ind w:right="-1"/>
        <w:rPr>
          <w:smallCaps w:val="0"/>
          <w:color w:val="000000"/>
        </w:rPr>
      </w:pPr>
      <w:r w:rsidDel="00000000" w:rsidR="00000000" w:rsidRPr="00000000">
        <w:rPr>
          <w:smallCaps w:val="0"/>
          <w:color w:val="000000"/>
          <w:rtl w:val="0"/>
        </w:rPr>
        <w:t xml:space="preserve">                                                                                                     Львівської районної державної</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ind w:right="-1"/>
        <w:rPr>
          <w:smallCaps w:val="0"/>
          <w:color w:val="000000"/>
        </w:rPr>
      </w:pPr>
      <w:r w:rsidDel="00000000" w:rsidR="00000000" w:rsidRPr="00000000">
        <w:rPr>
          <w:smallCaps w:val="0"/>
          <w:color w:val="000000"/>
          <w:rtl w:val="0"/>
        </w:rPr>
        <w:t xml:space="preserve">                                                                                                     адміністрації</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ind w:right="-1"/>
        <w:rPr>
          <w:smallCaps w:val="0"/>
        </w:rPr>
      </w:pPr>
      <w:r w:rsidDel="00000000" w:rsidR="00000000" w:rsidRPr="00000000">
        <w:rPr>
          <w:smallCaps w:val="0"/>
          <w:color w:val="000000"/>
          <w:rtl w:val="0"/>
        </w:rPr>
        <w:t xml:space="preserve">                                                                                                     ________________</w:t>
      </w:r>
      <w:r w:rsidDel="00000000" w:rsidR="00000000" w:rsidRPr="00000000">
        <w:rPr>
          <w:smallCaps w:val="0"/>
          <w:rtl w:val="0"/>
        </w:rPr>
        <w:t xml:space="preserve">О.ФИЛИПІВ</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ind w:right="-1"/>
        <w:rPr>
          <w:smallCaps w:val="0"/>
          <w:color w:val="000000"/>
        </w:rPr>
      </w:pPr>
      <w:r w:rsidDel="00000000" w:rsidR="00000000" w:rsidRPr="00000000">
        <w:rPr>
          <w:smallCaps w:val="0"/>
          <w:color w:val="000000"/>
          <w:rtl w:val="0"/>
        </w:rPr>
        <w:t xml:space="preserve">                                                                                                     МП</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ind w:left="7088" w:right="-426" w:firstLine="0"/>
        <w:rPr>
          <w:smallCaps w:val="0"/>
          <w:color w:val="000000"/>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jc w:val="center"/>
        <w:rPr>
          <w:smallCaps w:val="0"/>
          <w:color w:val="000000"/>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ind w:right="-1"/>
        <w:jc w:val="center"/>
        <w:rPr>
          <w:b w:val="1"/>
          <w:bCs w:val="1"/>
          <w:smallCaps w:val="0"/>
        </w:rPr>
      </w:pPr>
      <w:r w:rsidDel="00000000" w:rsidR="00000000" w:rsidRPr="00000000">
        <w:rPr>
          <w:b w:val="1"/>
          <w:bCs w:val="1"/>
          <w:smallCaps w:val="0"/>
          <w:rtl w:val="0"/>
        </w:rPr>
        <w:t xml:space="preserve"> ІНФОРМАЦІЙНА КАРТКА</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ind w:right="-1"/>
        <w:jc w:val="center"/>
        <w:rPr>
          <w:b w:val="1"/>
          <w:bCs w:val="1"/>
          <w:smallCaps w:val="0"/>
        </w:rPr>
      </w:pPr>
      <w:r w:rsidDel="00000000" w:rsidR="00000000" w:rsidRPr="00000000">
        <w:rPr>
          <w:b w:val="1"/>
          <w:bCs w:val="1"/>
          <w:smallCaps w:val="0"/>
          <w:rtl w:val="0"/>
        </w:rPr>
        <w:t xml:space="preserve">адміністративної послуги</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ind w:right="-1"/>
        <w:jc w:val="center"/>
        <w:rPr>
          <w:b w:val="1"/>
          <w:bCs w:val="1"/>
          <w:smallCaps w:val="0"/>
          <w:color w:val="000000"/>
        </w:rPr>
      </w:pPr>
      <w:r w:rsidDel="00000000" w:rsidR="00000000" w:rsidRPr="00000000">
        <w:rPr>
          <w:b w:val="1"/>
          <w:bCs w:val="1"/>
          <w:smallCaps w:val="0"/>
          <w:color w:val="000000"/>
          <w:rtl w:val="0"/>
        </w:rPr>
        <w:t xml:space="preserve">„ВЗЯТТЯ НА ОБЛІК ДЛЯ ЗАБЕЗПЕЧЕННЯ САНАТОРНО-КУРОРТНИМ ЛІКУВАННЯМ (ПУТІВКАМИ) ГРОМАДЯН, ЯКІ ПОСТРАЖДАЛИ ВНАСЛІДОК ЧОРНОБИЛЬСЬКОЇ КАТАСТРОФИˮ </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smallCaps w:val="0"/>
          <w:sz w:val="28"/>
          <w:szCs w:val="28"/>
        </w:rPr>
      </w:pPr>
      <w:r w:rsidDel="00000000" w:rsidR="00000000" w:rsidRPr="00000000">
        <w:rPr>
          <w:smallCaps w:val="0"/>
          <w:sz w:val="28"/>
          <w:szCs w:val="28"/>
          <w:rtl w:val="0"/>
        </w:rPr>
        <w:t xml:space="preserve">    __________________________________________________________________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120" w:lineRule="auto"/>
        <w:jc w:val="center"/>
        <w:rPr>
          <w:smallCaps w:val="0"/>
          <w:sz w:val="20"/>
          <w:szCs w:val="20"/>
        </w:rPr>
      </w:pPr>
      <w:r w:rsidDel="00000000" w:rsidR="00000000" w:rsidRPr="00000000">
        <w:rPr>
          <w:smallCaps w:val="0"/>
          <w:sz w:val="20"/>
          <w:szCs w:val="20"/>
          <w:rtl w:val="0"/>
        </w:rPr>
        <w:t xml:space="preserve">   (найменування суб’єкта надання адміністративної послуги  та / або центру надання адміністративних послуг)</w:t>
      </w:r>
    </w:p>
    <w:tbl>
      <w:tblPr>
        <w:tblStyle w:val="Table1"/>
        <w:tblW w:w="949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
        <w:gridCol w:w="3028"/>
        <w:gridCol w:w="5953"/>
        <w:tblGridChange w:id="0">
          <w:tblGrid>
            <w:gridCol w:w="516"/>
            <w:gridCol w:w="3028"/>
            <w:gridCol w:w="5953"/>
          </w:tblGrid>
        </w:tblGridChange>
      </w:tblGrid>
      <w:tr>
        <w:trPr>
          <w:cantSplit w:val="0"/>
          <w:tblHeader w:val="0"/>
        </w:trPr>
        <w:tc>
          <w:tcPr>
            <w:gridSpan w:val="3"/>
            <w:shd w:fill="auto" w:val="clear"/>
            <w:tcMar>
              <w:top w:w="0.0" w:type="dxa"/>
              <w:left w:w="108.0" w:type="dxa"/>
              <w:bottom w:w="0.0" w:type="dxa"/>
              <w:right w:w="108.0" w:type="dxa"/>
            </w:tcM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1.99999999999994"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Інформація про суб’єкт надання адміністративної послуги та / або центр надання адміністративних послуг</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i w:val="1"/>
                <w:iCs w:val="1"/>
                <w:smallCaps w:val="0"/>
                <w:rtl w:val="0"/>
              </w:rPr>
              <w:t xml:space="preserve"> </w:t>
            </w:r>
            <w:r w:rsidDel="00000000" w:rsidR="00000000" w:rsidRPr="00000000">
              <w:rPr>
                <w:smallCaps w:val="0"/>
                <w:rtl w:val="0"/>
              </w:rPr>
              <w:t xml:space="preserve">Місцезнаходження</w:t>
            </w:r>
          </w:p>
        </w:tc>
        <w:tc>
          <w:tcPr>
            <w:shd w:fill="auto" w:val="clear"/>
            <w:tcMar>
              <w:top w:w="0.0" w:type="dxa"/>
              <w:left w:w="108.0" w:type="dxa"/>
              <w:bottom w:w="0.0" w:type="dxa"/>
              <w:right w:w="108.0" w:type="dxa"/>
            </w:tcMa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1.99999999999994"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Зазначається місцезнаходження суб’єкта надання адміністративної послуги та / або центру надання адміністративних послуг</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Інформація щодо режиму роботи</w:t>
            </w:r>
          </w:p>
        </w:tc>
        <w:tc>
          <w:tcPr>
            <w:shd w:fill="auto" w:val="clear"/>
            <w:tcMar>
              <w:top w:w="0.0" w:type="dxa"/>
              <w:left w:w="108.0" w:type="dxa"/>
              <w:bottom w:w="0.0" w:type="dxa"/>
              <w:right w:w="108.0" w:type="dxa"/>
            </w:tcMa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1.99999999999994"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Зазначається режим роботи суб’єкта надання адміністративної послуги та / або центру надання адміністративних послуг</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Телефон / факс, адреса електронної пошти та веб-сайт)</w:t>
            </w:r>
          </w:p>
        </w:tc>
        <w:tc>
          <w:tcPr>
            <w:shd w:fill="auto" w:val="clear"/>
            <w:tcMar>
              <w:top w:w="0.0" w:type="dxa"/>
              <w:left w:w="108.0" w:type="dxa"/>
              <w:bottom w:w="0.0" w:type="dxa"/>
              <w:right w:w="108.0" w:type="dxa"/>
            </w:tcMa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1.99999999999994"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Зазначаються телефон/факс (довідки, адреса електронної пошти та веб-сайт) суб’єкта надання адміністративної послуги та / або центру надання адміністративних послуг </w:t>
            </w:r>
          </w:p>
        </w:tc>
      </w:tr>
      <w:tr>
        <w:trPr>
          <w:cantSplit w:val="0"/>
          <w:tblHeader w:val="0"/>
        </w:trPr>
        <w:tc>
          <w:tcPr>
            <w:gridSpan w:val="3"/>
            <w:shd w:fill="auto" w:val="clear"/>
            <w:tcMar>
              <w:top w:w="0.0" w:type="dxa"/>
              <w:left w:w="108.0" w:type="dxa"/>
              <w:bottom w:w="0.0" w:type="dxa"/>
              <w:right w:w="108.0" w:type="dxa"/>
            </w:tcMa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1.99999999999994"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Нормативні акти, якими регламентується надання адміністративної послуги</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Закони України</w:t>
            </w:r>
          </w:p>
        </w:tc>
        <w:tc>
          <w:tcPr>
            <w:shd w:fill="auto" w:val="clear"/>
            <w:tcMar>
              <w:top w:w="0.0" w:type="dxa"/>
              <w:left w:w="108.0" w:type="dxa"/>
              <w:bottom w:w="0.0" w:type="dxa"/>
              <w:right w:w="108.0" w:type="dxa"/>
            </w:tcMa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 України „Про статус і соціальний захист громадян, які постраждали внаслідок Чорнобильської катастрофи”  від 28.02.1991 № 796-ХІІ</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Акти Кабінету Міністрів України</w:t>
            </w:r>
          </w:p>
        </w:tc>
        <w:tc>
          <w:tcPr>
            <w:shd w:fill="auto" w:val="clear"/>
            <w:tcMar>
              <w:top w:w="0.0" w:type="dxa"/>
              <w:left w:w="108.0" w:type="dxa"/>
              <w:bottom w:w="0.0" w:type="dxa"/>
              <w:right w:w="108.0" w:type="dxa"/>
            </w:tcMa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Постанова Кабінету Міністрів України від 20.09.2005 № 936 „Про затвердження Порядку використання коштів державного бюджету для виконання програм, пов’язаних із соціальним захистом громадян, які постраждали внаслідок Чорнобильської катастрофи”; постанова Кабінету Міністрів України від 23.11.2016 № 854 „Деякі питання санаторно-курортного лікування та відпочинку громадян, які постраждали внаслідок Чорнобильської катастрофи”; постанова Кабінету Міністрів України від 08.11.2017 № 838 „Про розмір середньої вартості путівки для виплати грошової компенсації замість путівки громадянам, які постраждали внаслідок Чорнобильської катастрофи”; постанова Кабінету Міністрів України від 06.06.2018 № 446 „Про внесення змін до Порядку надання щорічної грошової допомоги для компенсації вартості путівок санаторно-курортним закладам та закладам відпочинку, здійснення доплат за рахунок власних коштів, виплати грошової компенсації громадянам, які постраждали внаслідок Чорнобильської катастрофи”; постанова Кабінету Міністрів України від 28.10.2020 № 1035 „Про внесення змін до деяких постанов Кабінету Міністрів України”; постанова Кабінету Міністрів України Про встановлення розміру грошової допомоги для компенсації вартості путівок санаторно-курортним закладам і закладам оздоровлення та відпочинку на відповідний рік</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tabs>
                <w:tab w:val="left" w:leader="none" w:pos="978"/>
              </w:tabs>
              <w:jc w:val="both"/>
              <w:rPr>
                <w:smallCaps w:val="0"/>
              </w:rPr>
            </w:pPr>
            <w:r w:rsidDel="00000000" w:rsidR="00000000" w:rsidRPr="00000000">
              <w:rPr>
                <w:smallCaps w:val="0"/>
                <w:rtl w:val="0"/>
              </w:rPr>
              <w:t xml:space="preserve">Акти центральних органів виконавчої влади</w:t>
            </w:r>
          </w:p>
        </w:tc>
        <w:tc>
          <w:tcPr>
            <w:shd w:fill="auto" w:val="clear"/>
            <w:tcMar>
              <w:top w:w="0.0" w:type="dxa"/>
              <w:left w:w="108.0" w:type="dxa"/>
              <w:bottom w:w="0.0" w:type="dxa"/>
              <w:right w:w="108.0" w:type="dxa"/>
            </w:tcMa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Наказ Міністерства соціальної політики України від 22.01.2018  № 73 „Про затвердження форм документів щодо забезпечення структурними підрозділами з питань соціального захисту населення санаторно-курортним лікуванням осіб пільгових категорій”, зареєстрований в Міністерстві юстиції України 13.02.2018 за № 163/31615; наказ Міністерства соціальної політики України від 24.05.2017 № 868 „Про затвердження переліку базових послуг, які входять до вартості путівки”, зареєстрований  в Міністерстві юстиції України 15.06.2017 за № 43/30611; наказ Міністерства охорони здоров’я України від 06.02.2008  № 56 „Про затвердження клінічних протоколів санаторно-курортного лікування в санаторно-курортних закладах (крім туберкульозного профілю) для дорослого населення”</w:t>
            </w:r>
          </w:p>
        </w:tc>
      </w:tr>
      <w:tr>
        <w:trPr>
          <w:cantSplit w:val="0"/>
          <w:tblHeader w:val="0"/>
        </w:trPr>
        <w:tc>
          <w:tcPr>
            <w:gridSpan w:val="3"/>
            <w:shd w:fill="auto" w:val="clear"/>
            <w:tcMar>
              <w:top w:w="0.0" w:type="dxa"/>
              <w:left w:w="108.0" w:type="dxa"/>
              <w:bottom w:w="0.0" w:type="dxa"/>
              <w:right w:w="108.0" w:type="dxa"/>
            </w:tcMa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11.99999999999994"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Умови отримання адміністративної послуги</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Підстава для отримання адміністративної послуги</w:t>
            </w:r>
          </w:p>
        </w:tc>
        <w:tc>
          <w:tcPr>
            <w:shd w:fill="auto" w:val="clear"/>
            <w:tcMar>
              <w:top w:w="0.0" w:type="dxa"/>
              <w:left w:w="108.0" w:type="dxa"/>
              <w:bottom w:w="0.0" w:type="dxa"/>
              <w:right w:w="108.0" w:type="dxa"/>
            </w:tcMar>
            <w:vAlign w:val="top"/>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Наявність медичних показань для забезпечення санаторно-курортним лікуванням громадян, які постраждали внаслідок Чорнобильської катастрофи</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Перелік необхідних документів </w:t>
            </w:r>
          </w:p>
        </w:tc>
        <w:tc>
          <w:tcPr>
            <w:shd w:fill="auto" w:val="clear"/>
            <w:tcMar>
              <w:top w:w="0.0" w:type="dxa"/>
              <w:left w:w="108.0" w:type="dxa"/>
              <w:bottom w:w="0.0" w:type="dxa"/>
              <w:right w:w="108.0" w:type="dxa"/>
            </w:tcMa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взяття на облік для забезпечення путівкою  громадянин, віднесений до категорії 1 (особа з інвалідністю з числа учасників ліквідації наслідків аварії на Чорнобильській АЕС та потерпілих від Чорнобильської катастрофи (статті 10, 11 і частина третя статті 12 Закону України „Про статус і соціальний захист громадян, які постраждали внаслідок Чорнобильської катастрофи”), щодо яких встановлено причинний зв'язок інвалідності з Чорнобильською катастрофою, хворі внаслідок Чорнобильської катастрофи на променеву хворобу), один із батьків дитини з інвалідністю або особа, яка їх замінює, подають:</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для забезпечення громадянина, віднесеного до категорії 1:</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заяву про взяття на облік для отримання путівки за формою, затвердженою Мінсоцполітики (далі – заява);</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довідку для одержання путівки на санаторно-курортне лікування за формою 070/о;</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копію посвідчення громадянина, віднесеного до категорії 1 (із вкладкою);</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копію паспорта громадянина України.</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подання заяви за місцем проживання, відмінним від зареєстрованого, громадянин (крім осіб, які переселилися з тимчасово окупованої території України чи районів проведення антитерористичної операції) додатково подає видану органом соціального захисту населення за зареєстрованим місцем проживання довідку про те, що громадянин, віднесений до категорії 1, не перебуває на обліку для забезпечення путівкою.</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для забезпечення дитини з інвалідністю та одного із батьків або особи, яка їх замінює:</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заяву;</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довідку для одержання путівки на санаторно-курортне лікування за формою 070/о;</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довідку для одержання путівки одним із батьків дитини з інвалідністю або особою, яка їх замінює, на санаторно-курортне лікування за формою 070/о (у разі наявності);</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копію посвідчення дитини з інвалідністю (із вкладкою);</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копію посвідчення громадянина, віднесеного до категорії 1 (із вкладкою), у разі наявності такого у одного з батьків дитини з інвалідністю або особи, яка їх замінює;</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копію свідоцтва про народження або копію паспорта дитини з інвалідністю;</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копію паспорта одного з батьків дитини з інвалідністю або особи, яка їх замінює;</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довідку про склад сім’ї або зареєстрованих у житловому приміщенні / будинку осіб.</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подання заяви за місцем проживання дитини з інвалідністю (крім дітей, які переселилися з тимчасово окупованої території України чи районів проведення антитерористичної операції), відмінним від зареєстрованого, одним із батьків дитини з інвалідністю або особою, яка їх замінює, додатково подається довідка органу соціального захисту населення за зареєстрованим місцем проживання дитини з інвалідністю про те, що вона не перебуває на обліку для забезпечення путівкою.</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Під час подання копій документів, передбачених цим пунктом, пред’являються оригінали зазначених документів</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9</w:t>
            </w:r>
          </w:p>
        </w:tc>
        <w:tc>
          <w:tcPr>
            <w:shd w:fill="auto" w:val="clear"/>
            <w:tcMar>
              <w:top w:w="0.0" w:type="dxa"/>
              <w:left w:w="108.0" w:type="dxa"/>
              <w:bottom w:w="0.0" w:type="dxa"/>
              <w:right w:w="108.0" w:type="dxa"/>
            </w:tcMa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Спосіб подання документів </w:t>
            </w:r>
          </w:p>
        </w:tc>
        <w:tc>
          <w:tcPr>
            <w:shd w:fill="auto" w:val="clear"/>
            <w:tcMar>
              <w:top w:w="0.0" w:type="dxa"/>
              <w:left w:w="108.0" w:type="dxa"/>
              <w:bottom w:w="0.0" w:type="dxa"/>
              <w:right w:w="108.0" w:type="dxa"/>
            </w:tcMar>
            <w:vAlign w:val="top"/>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Заява та документи, необхідні для взяття на облік для забезпечення санаторно-курортним лікуванням (путівками) громадян, які постраждали внаслідок Чорнобильської катастрофи, подаються особою суб’єкту надання адміністративної послуги:</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10</w:t>
            </w:r>
          </w:p>
        </w:tc>
        <w:tc>
          <w:tcPr>
            <w:shd w:fill="auto" w:val="clear"/>
            <w:tcMar>
              <w:top w:w="0.0" w:type="dxa"/>
              <w:left w:w="108.0" w:type="dxa"/>
              <w:bottom w:w="0.0" w:type="dxa"/>
              <w:right w:w="108.0" w:type="dxa"/>
            </w:tcMar>
            <w:vAlign w:val="top"/>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Платність (безоплатність) надання </w:t>
            </w:r>
          </w:p>
        </w:tc>
        <w:tc>
          <w:tcPr>
            <w:shd w:fill="auto" w:val="clear"/>
            <w:tcMar>
              <w:top w:w="0.0" w:type="dxa"/>
              <w:left w:w="108.0" w:type="dxa"/>
              <w:bottom w:w="0.0" w:type="dxa"/>
              <w:right w:w="108.0" w:type="dxa"/>
            </w:tcMa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Адміністративна послуга надається безоплатно</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Строк надання </w:t>
            </w:r>
          </w:p>
        </w:tc>
        <w:tc>
          <w:tcPr>
            <w:shd w:fill="auto" w:val="clear"/>
            <w:tcMar>
              <w:top w:w="0.0" w:type="dxa"/>
              <w:left w:w="108.0" w:type="dxa"/>
              <w:bottom w:w="0.0" w:type="dxa"/>
              <w:right w:w="108.0" w:type="dxa"/>
            </w:tcMar>
            <w:vAlign w:val="top"/>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Не пізніше 10 днів після надходження заяви із всіма необхідними документами</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12</w:t>
            </w:r>
          </w:p>
        </w:tc>
        <w:tc>
          <w:tcPr>
            <w:shd w:fill="auto" w:val="clear"/>
            <w:tcMar>
              <w:top w:w="0.0" w:type="dxa"/>
              <w:left w:w="108.0" w:type="dxa"/>
              <w:bottom w:w="0.0" w:type="dxa"/>
              <w:right w:w="108.0" w:type="dxa"/>
            </w:tcMar>
            <w:vAlign w:val="top"/>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Перелік підстав для відмови</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у наданні </w:t>
            </w:r>
          </w:p>
        </w:tc>
        <w:tc>
          <w:tcPr>
            <w:shd w:fill="auto" w:val="clear"/>
            <w:tcMar>
              <w:top w:w="0.0" w:type="dxa"/>
              <w:left w:w="108.0" w:type="dxa"/>
              <w:bottom w:w="0.0" w:type="dxa"/>
              <w:right w:w="108.0" w:type="dxa"/>
            </w:tcMar>
            <w:vAlign w:val="top"/>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Подання документів до заяви не в повному обсязі; заява подана особою, яка не має права на взяття на облік для забезпечення санаторно-курортним лікуванням</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13</w:t>
            </w:r>
          </w:p>
        </w:tc>
        <w:tc>
          <w:tcPr>
            <w:shd w:fill="auto" w:val="clear"/>
            <w:tcMar>
              <w:top w:w="0.0" w:type="dxa"/>
              <w:left w:w="108.0" w:type="dxa"/>
              <w:bottom w:w="0.0" w:type="dxa"/>
              <w:right w:w="108.0" w:type="dxa"/>
            </w:tcMar>
            <w:vAlign w:val="top"/>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Результат надання адміністративної послуги</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both"/>
              <w:rPr>
                <w:smallCaps w:val="0"/>
                <w:color w:val="000000"/>
              </w:rPr>
            </w:pPr>
            <w:r w:rsidDel="00000000" w:rsidR="00000000" w:rsidRPr="00000000">
              <w:rPr>
                <w:smallCaps w:val="0"/>
                <w:color w:val="000000"/>
                <w:rtl w:val="0"/>
              </w:rPr>
              <w:t xml:space="preserve">Взяття на облік для забезпечення санаторно-курортною путівкою / відмова щодо взяття на облік для забезпечення санаторно-курортною путівкою</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14</w:t>
            </w:r>
          </w:p>
        </w:tc>
        <w:tc>
          <w:tcPr>
            <w:shd w:fill="auto" w:val="clear"/>
            <w:tcMar>
              <w:top w:w="0.0" w:type="dxa"/>
              <w:left w:w="108.0" w:type="dxa"/>
              <w:bottom w:w="0.0" w:type="dxa"/>
              <w:right w:w="108.0" w:type="dxa"/>
            </w:tcMar>
            <w:vAlign w:val="top"/>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Способи отримання відповіді (результату)</w:t>
            </w:r>
          </w:p>
        </w:tc>
        <w:tc>
          <w:tcPr>
            <w:shd w:fill="auto" w:val="clear"/>
            <w:tcMar>
              <w:top w:w="0.0" w:type="dxa"/>
              <w:left w:w="108.0" w:type="dxa"/>
              <w:bottom w:w="0.0" w:type="dxa"/>
              <w:right w:w="108.0" w:type="dxa"/>
            </w:tcMar>
            <w:vAlign w:val="top"/>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Особисто або через законного представника: по телефону або поштою  </w:t>
            </w:r>
          </w:p>
        </w:tc>
      </w:tr>
    </w:tbl>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ind w:left="142" w:right="-426" w:firstLine="0"/>
        <w:jc w:val="both"/>
        <w:rPr>
          <w:smallCaps w:val="0"/>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ind w:right="-1"/>
        <w:jc w:val="both"/>
        <w:rPr>
          <w:smallCaps w:val="0"/>
        </w:rPr>
      </w:pPr>
      <w:r w:rsidDel="00000000" w:rsidR="00000000" w:rsidRPr="00000000">
        <w:rPr>
          <w:rtl w:val="0"/>
        </w:rPr>
      </w:r>
    </w:p>
    <w:sectPr>
      <w:headerReference r:id="rId6" w:type="default"/>
      <w:pgSz w:h="16838" w:w="11906" w:orient="portrait"/>
      <w:pgMar w:bottom="1134" w:top="567" w:left="1701" w:righ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2"/>
      <w:szCs w:val="22"/>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