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_________________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„ПРИЗНАЧЕННЯ ГРОШОВОЇ КОМПЕНСАЦІЇ ЗАМІСТЬ САНАТОРНО-КУРОРТНОЇ ПУТІВКИ ГРОМАДЯНАМ, ЯКІ ПОСТРАЖДАЛИ ВНАСЛІДОК  ЧОРНОБИЛЬСЬКОЇ КАТАСТРОФИ”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та / або центру надання адміністративних послуг )</w:t>
      </w:r>
    </w:p>
    <w:tbl>
      <w:tblPr>
        <w:tblStyle w:val="Table1"/>
        <w:tblW w:w="970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7"/>
        <w:gridCol w:w="2994"/>
        <w:gridCol w:w="6306.000000000002"/>
        <w:tblGridChange w:id="0">
          <w:tblGrid>
            <w:gridCol w:w="407"/>
            <w:gridCol w:w="2994"/>
            <w:gridCol w:w="6306.00000000000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Закон України „Про статус і соціальний захист громадян, які постраждали внаслідок Чорнобильської катастрофи” 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від 28.02.1991 №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796-ХІІ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Постанова Кабінету Міністрів України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mallCaps w:val="0"/>
                  <w:sz w:val="24"/>
                  <w:szCs w:val="24"/>
                  <w:rtl w:val="0"/>
                </w:rPr>
                <w:t xml:space="preserve">від 20.09.2005 № 936 „Про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катастрофи”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; постанова Кабінету Міністрів України від 23.11.2016 № 854 „Деякі питання санаторно-курортного лікування та відпочинку громадян, які постраждали внаслідок Чорнобильської катастрофи”; постанова Кабінету Міністрів України від 08.11.2017 № 838 „Про розмір середньої вартості путівки для виплати грошової компенсації замість путівки громадянам, які постраждали внаслідок Чорнобильської катастрофи”; постанова Кабінету Міністрів України від 06.06.2018 № 446 „Про внесення змін до Порядку надання щорічної грошової допомоги для компенсації вартості путівок санаторно-курортним закладам та закладам відпочинку, здійснення доплат за рахунок власних коштів, виплати грошової компенсації громадянам, які постраждали внаслідок Чорнобильської катастрофи”; постанова Кабінету Міністрів України від 28.10.2020 № 1035 „Про внесення змін до деяких постанов Кабінету Міністрів України”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Мінсоцполітики, яким щороку визначається розмір грошової компенсації замість путівки, відповідно до                        вимог пункту 1 постанови Кабінету Міністрів України від 08.11.2017 № 838 „Про розмір середньої вартості путівки для виплати грошової компенсації замість путівки громадянам, які постраждали внаслідок Чорнобильської катастрофи”; наказ Міністерства соціальної політики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 за № 163/31615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Відмова від отримання санаторно-курортного лікування або відпочинку за місцем перебування на обліку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на отримання грошової компенсації замість санаторно-курортної путівки громадянам, які постраждали внаслідок  Чорнобильської катастрофи (далі – компенсація) за формою, затвердженою Мінсоцполітики;</w:t>
            </w:r>
          </w:p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довідка для одержання путівки на санаторно-курортне лікування за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mallCaps w:val="0"/>
                  <w:sz w:val="24"/>
                  <w:szCs w:val="24"/>
                  <w:rtl w:val="0"/>
                </w:rPr>
                <w:t xml:space="preserve">формою 070/о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копія посвідчення громадянина, віднесеного до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smallCaps w:val="0"/>
                  <w:sz w:val="24"/>
                  <w:szCs w:val="24"/>
                  <w:rtl w:val="0"/>
                </w:rPr>
                <w:t xml:space="preserve">категорії 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(особа з інвалідністю з числа учасників ліквідації наслідків аварії на Чорнобильській АЕС та потерпілих від Чорнобильської катастрофи (статті 10, 11 і частина третя статті 12 Закону України „Про статус і соціальний захист громадян, які постраждали внаслідок Чорнобильської катастрофи”), щодо яких встановлено причинний зв'язок інвалідності з Чорнобильською катастрофою, хворі внаслідок Чорнобильської катастрофи на променеву хворобу), (із вкладкою);</w:t>
            </w:r>
          </w:p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копія паспорта громадянина України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та документи, необхідні для призначення компенсації, подаються особою суб’єкту надання адміністративної послуги: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2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Подання документів до заяви не в повному обсязі; </w:t>
            </w:r>
          </w:p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2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подана особою, яка не має права на призначення компенсації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5"/>
              </w:tabs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Призначення компенсації / відмова  у призначені компенсації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Повідомлення про призначення компенсації видається  одержувачу. Компенсацію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426" w:top="993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zakon.rada.gov.ua/laws/show/796-12#_blank" TargetMode="External"/><Relationship Id="rId9" Type="http://schemas.openxmlformats.org/officeDocument/2006/relationships/hyperlink" Target="https://zakon.rada.gov.ua/laws/show/z0680-12#_blank" TargetMode="Externa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yperlink" Target="https://zakon.rada.gov.ua/go/854-2016-%D0%BF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