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2"/>
          <w:szCs w:val="22"/>
          <w:rtl w:val="0"/>
        </w:rPr>
        <w:t xml:space="preserve">                                                                                                                   ЗАТВЕРДЖУЮ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2"/>
          <w:szCs w:val="22"/>
          <w:rtl w:val="0"/>
        </w:rPr>
        <w:t xml:space="preserve">                                                                                                                   Начальник управління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2"/>
          <w:szCs w:val="22"/>
          <w:rtl w:val="0"/>
        </w:rPr>
        <w:t xml:space="preserve">               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2"/>
          <w:szCs w:val="22"/>
          <w:rtl w:val="0"/>
        </w:rPr>
        <w:t xml:space="preserve">               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2"/>
          <w:szCs w:val="22"/>
          <w:rtl w:val="0"/>
        </w:rPr>
        <w:t xml:space="preserve">              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2"/>
          <w:szCs w:val="22"/>
          <w:rtl w:val="0"/>
        </w:rPr>
        <w:t xml:space="preserve">                                                                                                                   _________________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О.ФИЛИПІВ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2"/>
          <w:szCs w:val="22"/>
          <w:rtl w:val="0"/>
        </w:rPr>
        <w:t xml:space="preserve">                                                                                                                   МП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ТЕХНОЛОГІЧНА КАРТКА</w:t>
      </w:r>
    </w:p>
    <w:p w:rsidR="00000000" w:rsidDel="00000000" w:rsidP="00000000" w:rsidRDefault="00000000" w:rsidRPr="00000000" w14:paraId="0000000B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rtl w:val="0"/>
        </w:rPr>
        <w:t xml:space="preserve">адміністративної послуги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„ПРИЗНАЧЕННЯ ГРОШОВОЇ КОМПЕНСАЦІЇ ЗАМІСТЬ САНАТОРНО-КУРОРТНОЇ ПУТІВКИ ГРОМАДЯНАМ, ЯКІ ПОСТРАЖДАЛИ ВНАСЛІДОК  ЧОРНОБИЛЬСЬКОЇ КАТАСТРОФИ”</w:t>
      </w:r>
    </w:p>
    <w:p w:rsidR="00000000" w:rsidDel="00000000" w:rsidP="00000000" w:rsidRDefault="00000000" w:rsidRPr="00000000" w14:paraId="0000000D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99"/>
        </w:tabs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2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51"/>
        <w:gridCol w:w="4006"/>
        <w:gridCol w:w="2362.0000000000005"/>
        <w:gridCol w:w="1718.9999999999998"/>
        <w:gridCol w:w="1042.9999999999995"/>
        <w:gridCol w:w="141.99999999999932"/>
        <w:tblGridChange w:id="0">
          <w:tblGrid>
            <w:gridCol w:w="651"/>
            <w:gridCol w:w="4006"/>
            <w:gridCol w:w="2362.0000000000005"/>
            <w:gridCol w:w="1718.9999999999998"/>
            <w:gridCol w:w="1042.9999999999995"/>
            <w:gridCol w:w="141.99999999999932"/>
          </w:tblGrid>
        </w:tblGridChange>
      </w:tblGrid>
      <w:tr>
        <w:trPr>
          <w:cantSplit w:val="0"/>
          <w:tblHeader w:val="0"/>
        </w:trPr>
        <w:tc>
          <w:tcPr>
            <w:gridSpan w:val="6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_____________________________________________________________________</w:t>
            </w:r>
          </w:p>
          <w:p w:rsidR="00000000" w:rsidDel="00000000" w:rsidP="00000000" w:rsidRDefault="00000000" w:rsidRPr="00000000" w14:paraId="0000000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(найменування суб’єкта надання адміністративної послуги та / або центру надання адміністративних послуг 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п/п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Етапи опрацювання звернення про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Відповідальна посадова особа суб’єкта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Дія</w:t>
            </w:r>
          </w:p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виконує, </w:t>
            </w:r>
          </w:p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бере участь,</w:t>
            </w:r>
          </w:p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П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погоджує,</w:t>
            </w:r>
          </w:p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З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затверджує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Термін виконання</w:t>
            </w:r>
          </w:p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(днів)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Прийом і перевірка повноти пакета документів,  відповідність їх оформлення вимогам законодавства.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Формування справи, занесення даних до реєстру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Після перевірки відомостей внесених до заяви, проставлення власного підпису заявником.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Передача пакету документів заявника уповноваженому представнику управління соціального захисту населення райдержадміністрації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Розгляд заяви</w:t>
            </w:r>
          </w:p>
          <w:p w:rsidR="00000000" w:rsidDel="00000000" w:rsidP="00000000" w:rsidRDefault="00000000" w:rsidRPr="00000000" w14:paraId="000000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10 календарних днів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Надання повідомлення про призначення ( не призначення) грошової компенсації  на адресу центру надання адміністративних послуг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Повідомлення про призначення ( не призначення) грошової компенсації  на адресу заявника результату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Загальна кількість днів надання послуг, - 30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Загальна кількість днів (передбачена законодавством) - 30</w:t>
            </w:r>
          </w:p>
        </w:tc>
      </w:tr>
    </w:tbl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426" w:top="993" w:left="1701" w:right="56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8"/>
        <w:szCs w:val="28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