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«ВСТАНОВЛЕННЯ СТАТУСУ ЧЛЕНА СІМ’Ї ЗАГИБЛОГО (ПОМЕРЛОГО) ЗАХИСНИКА ЧИ ЗАХИСНИЦІ»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tbl>
      <w:tblPr>
        <w:tblStyle w:val="Table1"/>
        <w:tblW w:w="9808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3979"/>
        <w:gridCol w:w="1958"/>
        <w:gridCol w:w="1463"/>
        <w:gridCol w:w="1152"/>
        <w:gridCol w:w="716"/>
        <w:tblGridChange w:id="0">
          <w:tblGrid>
            <w:gridCol w:w="540"/>
            <w:gridCol w:w="3979"/>
            <w:gridCol w:w="1958"/>
            <w:gridCol w:w="1463"/>
            <w:gridCol w:w="1152"/>
            <w:gridCol w:w="716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надання ( не надання) статусу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надання (не надання) статусу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CyflpOs6u4vYlFiQtm8O1t79uQ==">CgMxLjA4AHIhMXc5NGJOUXlxcE9nZHNWRkpwMHZCbVMtTTUzZXR6cFR0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