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 _______________О.ФИЛИПІВ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6"/>
          <w:szCs w:val="26"/>
          <w:rtl w:val="0"/>
        </w:rPr>
        <w:t xml:space="preserve">ТЕХНОЛОГІЧНА КАРТКА</w:t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6"/>
          <w:szCs w:val="26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 видача довідки про встановлення статусу особи, яка постраждала від торгівлі людьми та ПРИЗНАЧЕННЯ одноразової матеріальної допомоги ”</w:t>
      </w:r>
    </w:p>
    <w:tbl>
      <w:tblPr>
        <w:tblStyle w:val="Table1"/>
        <w:tblW w:w="988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2"/>
        <w:gridCol w:w="3952"/>
        <w:gridCol w:w="2334"/>
        <w:gridCol w:w="1701.0000000000002"/>
        <w:gridCol w:w="1142.0000000000005"/>
        <w:gridCol w:w="106.99999999999932"/>
        <w:tblGridChange w:id="0">
          <w:tblGrid>
            <w:gridCol w:w="652"/>
            <w:gridCol w:w="3952"/>
            <w:gridCol w:w="2334"/>
            <w:gridCol w:w="1701.0000000000002"/>
            <w:gridCol w:w="1142.0000000000005"/>
            <w:gridCol w:w="106.99999999999932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rtl w:val="0"/>
              </w:rPr>
              <w:t xml:space="preserve">____________________________________________________________________</w:t>
            </w:r>
          </w:p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(найменування суб’єкта надання адміністративної послуги та / або центру надання адміністративних послуг)</w:t>
            </w:r>
          </w:p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затверджує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30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Надання повідомлення про призначення ( не призначення) одноразової винагороди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Повідомлення про призначення (не призначення) одноразової винагороди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надання послуг, - 30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(передбачена законодавством) - 30</w:t>
            </w:r>
          </w:p>
        </w:tc>
      </w:tr>
    </w:tbl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