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„Установлення статусу, видача посвідчень батькам багатодітної сім’ї та дитинІ з багатодітної сім’ї”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</w:t>
      </w:r>
    </w:p>
    <w:tbl>
      <w:tblPr>
        <w:tblStyle w:val="Table1"/>
        <w:tblW w:w="978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9"/>
        <w:gridCol w:w="4167"/>
        <w:gridCol w:w="2139.0000000000005"/>
        <w:gridCol w:w="1663.9999999999998"/>
        <w:gridCol w:w="1185"/>
        <w:gridCol w:w="17.000000000000455"/>
        <w:tblGridChange w:id="0">
          <w:tblGrid>
            <w:gridCol w:w="609"/>
            <w:gridCol w:w="4167"/>
            <w:gridCol w:w="2139.0000000000005"/>
            <w:gridCol w:w="1663.9999999999998"/>
            <w:gridCol w:w="1185"/>
            <w:gridCol w:w="17.00000000000045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идачу бланків посвідчень батьків та дітей з багатодітних сімей (дітям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з багатодітної сім’ї посвідчення видаються з шести років)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/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відмова у видачі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бланків посвідчень батьків та дітей з багатодітних сімей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идачу бланків посвідчень батьків та дітей з багатодітних сімей (дітям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з багатодітної сім’ї посвідчення видаються з шести років)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/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відмова у видачі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бланків посвідчень батьків та дітей з багатодітних сімей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