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ЗАТВЕРДЖУЮ</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Начальник управління</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соціального захисту населення</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Львівської районної держаної</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адміністрації</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_________________О.ФИЛИПІВ</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МП</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8" w:right="-426"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ІНФОРМАЦІЙНА КАРТКА</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адміністративної послуги</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„УСТАНОВЛЕННЯ СТАТУСУ, ВИДАЧА ПОСВІДЧЕНЬ ОСОБАМ, ЯКІ ПОСТРАЖДАЛИ ВНАСЛІДОК ЧОРНОБИЛЬСЬКОЇ КАТАСТРОФИ (ВІДПОВІДНО ДО ВИЗНАЧЕНИХ КАТЕГОРІЙ)ˮ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____________________________________________________________________</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42"/>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(найменування суб’єкта надання адміністративної послуги  та / або центру надання адміністративних послуг)</w:t>
      </w:r>
      <w:r w:rsidDel="00000000" w:rsidR="00000000" w:rsidRPr="00000000">
        <w:rPr>
          <w:rtl w:val="0"/>
        </w:rPr>
      </w:r>
    </w:p>
    <w:tbl>
      <w:tblPr>
        <w:tblStyle w:val="Table1"/>
        <w:tblW w:w="9497.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6"/>
        <w:gridCol w:w="3028"/>
        <w:gridCol w:w="5953"/>
        <w:tblGridChange w:id="0">
          <w:tblGrid>
            <w:gridCol w:w="516"/>
            <w:gridCol w:w="3028"/>
            <w:gridCol w:w="5953"/>
          </w:tblGrid>
        </w:tblGridChange>
      </w:tblGrid>
      <w:tr>
        <w:trPr>
          <w:cantSplit w:val="0"/>
          <w:tblHeader w:val="0"/>
        </w:trPr>
        <w:tc>
          <w:tcPr>
            <w:gridSpan w:val="3"/>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Інформація про суб’єкт надання адміністративної послуги та / або центр надання адміністративних послуг</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Місцезнаходження</w:t>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Зазначається місцезнаходження суб’єкта надання адміністративної послуги та / або центру надання адміністративних послуг</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Інформація щодо режиму роботи</w:t>
            </w:r>
          </w:p>
        </w:tc>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Зазначається режим роботи суб’єкта надання адміністративної послуги та / або центру надання адміністративних послуг</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Телефон / факс, адреса електронної пошти та веб-сайт)</w:t>
            </w:r>
          </w:p>
        </w:tc>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Зазначаються телефон/факс (довідки, адреса електронної пошти та веб-сайт) суб’єкта надання адміністративної послуги та / або центру надання адміністративних послуг </w:t>
            </w: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Нормативні акти, якими регламентується надання адміністративної послуги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Закони України</w:t>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 України „Про статус і соціальний захист громадян, які постраждали внаслідок Чорнобильської катастрофи” 28.02.1991 № 796-XII</w:t>
            </w:r>
          </w:p>
        </w:tc>
      </w:tr>
      <w:tr>
        <w:trPr>
          <w:cantSplit w:val="0"/>
          <w:tblHeader w:val="0"/>
        </w:trPr>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Акти Кабінету Міністрів України</w:t>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11.07.2018 № 551 „Деякі питання видачі посвідчень особам, які постраждали внаслідок Чорнобильської катастрофи, та іншим категоріям громадян” (зі змінами); постанова Кабінету Міністрів України від 02.12.1992 № 674 „Про порядок віднесення деяких категорій громадян до відповідних категорій осіб, які постраждали внаслідок Чорнобильської катастрофи” (зі змінами); постанова Кабінету Міністрів України від 15.11.1996 № 1391 „Про затвердження переліків видів робіт і місць за межами зони відчуження, де за урядовими завданнями у 1986–1987 роках виконувались роботи в особливо шкідливих умовах (за радіаційним фактором), пов’язаних з ліквідацією наслідків Чорнобильської катастрофи”</w:t>
            </w:r>
          </w:p>
        </w:tc>
      </w:tr>
      <w:tr>
        <w:trPr>
          <w:cantSplit w:val="0"/>
          <w:tblHeader w:val="0"/>
        </w:trPr>
        <w:tc>
          <w:tcPr>
            <w:gridSpan w:val="3"/>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Умови отримання адміністративної послуги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Підстава для отримання адміністративної послуги</w:t>
            </w:r>
          </w:p>
        </w:tc>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Участь у ліквідації наслідків аварії на Чорнобильській АЕС в зоні відчуження.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Участь в ліквідації ядерних аварій та випробувань, військових навчань із застосуванням ядерної зброї, у складанні ядерних зарядів та проведенні на них регламентних робіт.</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Проживання на радіоактивно забруднених територіях у визначений законодавством термін.</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Постраждалі від радіаційного опромінення внаслідок будь-якої аварії, порушення правил експлуатації обладнання з радіоактивною речовиною порушення правил зберігання і поховання радіоактивних речовин, що сталися не з вини потерпілого. Особи, які працювали з моменту аварії за межами зони відчуження на роботах з особливо шкідливими умовами праці у визначений законодавством термін.</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Факт народження дитини після 26 квітня 1986 року від матері / батька, які належать до постраждалих внаслідок Чорнобильської катастрофи, категорії 1, 2, 3</w:t>
            </w:r>
          </w:p>
        </w:tc>
      </w:tr>
      <w:tr>
        <w:trPr>
          <w:cantSplit w:val="0"/>
          <w:tblHeader w:val="0"/>
        </w:trPr>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Перелік необхідних документів </w:t>
            </w:r>
          </w:p>
        </w:tc>
        <w:tc>
          <w:tcP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учасника ліквідації наслідків аварії на Чорнобильській АЕС категорії 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посвідчення учасника ліквідації наслідків аварії на Чорнобильської катастрофи категорії 2 або 3;</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експертної команди про встановлення інвалідності відповідної групи, пов’язаної з роботами по ліквідації наслідків аварії на Чорнобильській АЕС, проходженням військової служби по ліквідації наслідків аварії на Чорнобильській АЕС;</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експертний висновок міжвідомчої експертної </w:t>
              <w:br w:type="textWrapping"/>
              <w:t xml:space="preserve">комісії / військово-лікарської комісії, що діє у системі МВС, СБУ, Міноборони щодо захворювання пов’язаного з роботами / службою по ліквідації наслідків аварії на Чорнобильській АЕС.</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від Чорнобильської катастрофи категорії 1:</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посвідчення потерпілого від Чорнобильської катастрофи категорії 2 або 3, або серії „Г”, або серії „Д”;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експертної команди про встановлення інвалідності відповідної групи, пов’язаної з Чорнобильською катастрофою;</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експертний висновок щодо захворювання пов’язаного з наслідками Чорнобильської катастрофи.</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учасника ліквідації ядерних аварій категорії 1:</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що підтверджує участь у ліквідації ядерних аварій, ядерних випробуваннях, у військових навчаннях із застосуванням ядерної зброї, у складанні ядерних зарядів та проведенні на них регламентних робіт, видана відповідною військової частиною або архівною установою держави, на території якої проводились ядерні випробування, військові навчання із застосуванням ядерної зброї, ліквідації ядерних аварій;</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висновок міжвідомчої експертної ради про причинний  зв’язок інвалідності чи захворювання з ядерною аварією, ядерними випробуваннями або військовими навчаннями, із застосуванням ядерної зброї, складанням ядерних зарядів та проведенням на них регламентних робіт;</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експертної команди.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від радіаційного опромінення категорії 1:</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висновок міжвідомчої експертної ради про причинний  зв’язок інвалідності чи захворювання з відповідною аварією, порушеннями правил експлуатації обладнання з радіоактивної речовиною тощо;</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експертної команди.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учасника ліквідації наслідків аварії на Чорнобильській АЕС категорії 2, 3:</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про підвищену оплату праці в зоні відчуження із зазначенням кількості днів і населеного пункту, підтверджена первинними документами (наказ чи розпорядження про відрядження до зони відчуження із зазначенням періоду роботи (служби) в зоні відчуження, особового рахунка, табеля обліку робочого часу, посвідчення про відрядження в зону відчуження з відміткою підприємства про прибуття та вибуття працівника, шляхових листів (за наявності), трудової книжки (у разі потреби);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архівна довідка про участь у ліквідації наслідків аварії у зоні відчуження із зазначенням періоду служби (виконання робіт), днів виїзду на об’єкти або в населення пункти зони відчуження, у разі потреби довідка командира військового частини, військовий квиток, витяг з особової справи військовослужбовця, завіреного в установленому порядку.</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учасника ліквідації ядерних аварій категорії 2, 3:</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що підтверджує участь у ліквідації ядерних аварій, ядерних випробуваннях, у військових навчаннях із застосуванням ядерної зброї, у складанні ядерних зарядів та проведенні на них регламентних робіт, видана відповідною військової частиною або архівною установою держави, на території якої проводились ядерні випробування, військові навчання із застосуванням ядерної зброї, ліквідації ядерних аварій;</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військовий квиток (за необхідністю);</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завірений в установленому порядку витяг з особової справи військовослужбовця (за необхідністю).</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внаслідок Чорнобильської катастрофи категорії 2:</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видана Волинською, Житомирською, Київською, Рівненською або Чернігівською обласними державними адміністраціями (додатки </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до постанови Кабінету Міністрів України</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від 11 липня 2018 р. № 551 (далі – додатки)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 або № 4 ).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від радіаційного опромінення категорія 2:</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висновок міжвідомчої експертної ради про причинний зв’язок захворювання з переопроміненням внаслідок будь-якої аварії, порушеннями правил експлуатації обладнання з радіоактивної речовиною, акт за формою Н1 або акт державної комісії про нещасний випадок (радіаційну аварію).</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внаслідок Чорнобильської катастрофи категорії 3:</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встановленого зразка (додатки № 5 або № 6).</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потерпілого внаслідок Чорнобильської катастрофи серії Г:</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встановленого зразка (додаток № 7).</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дитини, яка потерпіла від Чорнобильської катастрофи, серії Д:</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матері або батька дитини або інший документ, який засвідчує особу;</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народження дитини;</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про реєстрацію / місця </w:t>
              <w:br w:type="textWrapping"/>
              <w:t xml:space="preserve">проживання / перебування дитини;</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встановленого зразка (додатки № 8–10).</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вкладки до посвідчення дитини з інвалідністю, пов’язаною з наслідками Чорнобильської катастрофи серії Д:</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довідка про реєстрацію / місця </w:t>
              <w:br w:type="textWrapping"/>
              <w:t xml:space="preserve">проживання / перебування дитини;</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посвідчення потерпілого внаслідок Чорнобильської катастрофи серії „Д”</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експертний висновок про причинний зв’язок інвалідності з наслідками Чорнобильської катастрофи.</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видачі посвідчення дружини (чоловіка) померлого (померлої) громадянина (громадянки) з числа учасників ліквідації наслідків аварії на Чорнобильській АЕС (потерпілих від Чорнобильської катастрофи), віднесених до категорії 1, 2, або з числа учасників ліквідації наслідків аварії на Чорнобильській АЕС категорії 3, смерть якого (якої) пов’язана з Чорнобильською катастрофою, або участю у ліквідації інших ядерних аварій, у ядерних випробуваннях, військових навчаннях із застосуванням ядерної зброї, у складані ядерних зарядів та проведенні на них регламентних робіт, а також опікуну дітей померлого (померлої) громадянина (громадянки), смерть якого (якої) пов’язана з Чорнобильською катастрофою:</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паспорт громадянина України або інший документ, який засвідчує особу;</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посвідчення відповідної категорії померлого громадянина;</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одруження;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смерть громадянина постраждалого внаслідок Чорнобильської катастрофи або свідоцтво про смерть громадянина, який брав участь у ліквідації інших ядерних аварій, у ядерних випробуваннях, військових навчаннях із застосуванням ядерної зброї, у складані ядерних зарядів та проведенні на них регламентних робіт;</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документи про підтвердження статусу постраждалого внаслідок Чорнобильської катастрофи, або статусу участі у ліквідації інших ядерних аварій, у ядерних випробуваннях, військових навчаннях із застосуванням ядерної зброї, у складані ядерних зарядів та проведенні на них регламентних робіт або відповідного посвідчення (за наявності);</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експертний висновок щодо причинного зв’язку смерті з наслідками Чорнобильської катастрофи, або участю у ліквідації інших ядерних аварій, ядерних випробуваннях, військовим навчанням, складанням ядерних зарядів та проведенням на них регламентних робіт</w:t>
            </w:r>
          </w:p>
        </w:tc>
      </w:tr>
      <w:tr>
        <w:trPr>
          <w:cantSplit w:val="0"/>
          <w:tblHeader w:val="0"/>
        </w:trPr>
        <w:tc>
          <w:tcP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Спосіб подання документів </w:t>
            </w:r>
          </w:p>
        </w:tc>
        <w:tc>
          <w:tcP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Заява та документи, необхідні для видачі посвідчення, подаються особою суб’єкту надання адміністративної послуги:</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trPr>
          <w:cantSplit w:val="0"/>
          <w:tblHeader w:val="0"/>
        </w:trPr>
        <w:tc>
          <w:tcP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Платність (безоплатність) надання </w:t>
            </w:r>
          </w:p>
        </w:tc>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Послуга надається безоплатно</w:t>
            </w:r>
          </w:p>
        </w:tc>
      </w:tr>
      <w:tr>
        <w:trPr>
          <w:cantSplit w:val="0"/>
          <w:tblHeader w:val="0"/>
        </w:trPr>
        <w:tc>
          <w:tcP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Строк надання </w:t>
            </w:r>
          </w:p>
        </w:tc>
        <w:tc>
          <w:tcP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Рішення про видачу або відмову у видачі посвідчення приймається у місячний термін з дня надходження необхідних документів до органу, що видає посвідчення</w:t>
            </w:r>
          </w:p>
        </w:tc>
      </w:tr>
      <w:tr>
        <w:trPr>
          <w:cantSplit w:val="0"/>
          <w:tblHeader w:val="0"/>
        </w:trPr>
        <w:tc>
          <w:tcP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r>
          </w:p>
        </w:tc>
        <w:tc>
          <w:tcP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Перелік підстав для відмови</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наданні </w:t>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Подання встановленого переліку документів не в повному обсязі;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втрата відповідного статусу</w:t>
            </w:r>
          </w:p>
        </w:tc>
      </w:tr>
      <w:tr>
        <w:trPr>
          <w:cantSplit w:val="0"/>
          <w:tblHeader w:val="0"/>
        </w:trPr>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w:t>
            </w:r>
          </w:p>
        </w:tc>
        <w:tc>
          <w:tcP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Результат надання адміністративної послуги</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Видача посвідчення / відмова у видачі посвідчення</w:t>
            </w:r>
          </w:p>
        </w:tc>
      </w:tr>
      <w:tr>
        <w:trPr>
          <w:cantSplit w:val="0"/>
          <w:tblHeader w:val="0"/>
        </w:trPr>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w:t>
            </w:r>
          </w:p>
        </w:tc>
        <w:tc>
          <w:tcP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Способи отримання відповіді (результату)</w:t>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Особам, постраждалим внаслідок Чорнобильської катастрофи, та іншим категоріям громадян посвідчення видаються особисто</w:t>
            </w:r>
          </w:p>
        </w:tc>
      </w:tr>
    </w:tbl>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426"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pgSz w:h="16838" w:w="11906" w:orient="portrait"/>
      <w:pgMar w:bottom="1134" w:top="1134" w:left="1701"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Звичайний">
    <w:name w:val="Звичайний"/>
    <w:next w:val="Звичайни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Шрифтабзацузапромовчанням,ЗнакЗнакЗнакЗнакЗнак">
    <w:name w:val="Шрифт абзацу за промовчанням, Знак Знак Знак Знак Знак"/>
    <w:next w:val="Шрифтабзацузапромовчанням,ЗнакЗнакЗнакЗнакЗнак"/>
    <w:autoRedefine w:val="0"/>
    <w:hidden w:val="0"/>
    <w:qFormat w:val="0"/>
    <w:rPr>
      <w:w w:val="100"/>
      <w:position w:val="-1"/>
      <w:effect w:val="none"/>
      <w:vertAlign w:val="baseline"/>
      <w:cs w:val="0"/>
      <w:em w:val="none"/>
      <w:lang/>
    </w:rPr>
  </w:style>
  <w:style w:type="table" w:styleId="Звичайнатаблиця">
    <w:name w:val="Звичайна таблиця"/>
    <w:next w:val="Звичайнатаблиця"/>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маєсписку">
    <w:name w:val="Немає списку"/>
    <w:next w:val="Немаєсписку"/>
    <w:autoRedefine w:val="0"/>
    <w:hidden w:val="0"/>
    <w:qFormat w:val="0"/>
    <w:pPr>
      <w:suppressAutoHyphens w:val="1"/>
      <w:spacing w:line="1" w:lineRule="atLeast"/>
      <w:ind w:leftChars="-1" w:rightChars="0" w:firstLineChars="-1"/>
      <w:textDirection w:val="btLr"/>
      <w:textAlignment w:val="top"/>
      <w:outlineLvl w:val="0"/>
    </w:pPr>
  </w:style>
  <w:style w:type="paragraph" w:styleId="Звичайний(веб)">
    <w:name w:val="Звичайний (веб)"/>
    <w:basedOn w:val="Звичайний"/>
    <w:next w:val="Звичайни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k-UA" w:val="uk-UA"/>
    </w:rPr>
  </w:style>
  <w:style w:type="character" w:styleId="rvts23">
    <w:name w:val="rvts23"/>
    <w:basedOn w:val="Шрифтабзацузапромовчанням,ЗнакЗнакЗнакЗнакЗнак"/>
    <w:next w:val="rvts23"/>
    <w:autoRedefine w:val="0"/>
    <w:hidden w:val="0"/>
    <w:qFormat w:val="0"/>
    <w:rPr>
      <w:w w:val="100"/>
      <w:position w:val="-1"/>
      <w:effect w:val="none"/>
      <w:vertAlign w:val="baseline"/>
      <w:cs w:val="0"/>
      <w:em w:val="none"/>
      <w:lang/>
    </w:rPr>
  </w:style>
  <w:style w:type="paragraph" w:styleId="rvps14">
    <w:name w:val="rvps14"/>
    <w:basedOn w:val="Звичайний"/>
    <w:next w:val="rvps14"/>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apple-converted-space">
    <w:name w:val="apple-converted-space"/>
    <w:basedOn w:val="Шрифтабзацузапромовчанням,ЗнакЗнакЗнакЗнакЗнак"/>
    <w:next w:val="apple-converted-space"/>
    <w:autoRedefine w:val="0"/>
    <w:hidden w:val="0"/>
    <w:qFormat w:val="0"/>
    <w:rPr>
      <w:w w:val="100"/>
      <w:position w:val="-1"/>
      <w:effect w:val="none"/>
      <w:vertAlign w:val="baseline"/>
      <w:cs w:val="0"/>
      <w:em w:val="none"/>
      <w:lang/>
    </w:rPr>
  </w:style>
  <w:style w:type="character" w:styleId="Гіперпосилання">
    <w:name w:val="Гіперпосилання"/>
    <w:next w:val="Гіперпосилання"/>
    <w:autoRedefine w:val="0"/>
    <w:hidden w:val="0"/>
    <w:qFormat w:val="0"/>
    <w:rPr>
      <w:color w:val="0000ff"/>
      <w:w w:val="100"/>
      <w:position w:val="-1"/>
      <w:u w:val="single"/>
      <w:effect w:val="none"/>
      <w:vertAlign w:val="baseline"/>
      <w:cs w:val="0"/>
      <w:em w:val="none"/>
      <w:lang/>
    </w:rPr>
  </w:style>
  <w:style w:type="paragraph" w:styleId="rvps2">
    <w:name w:val="rvps2"/>
    <w:basedOn w:val="Звичайний"/>
    <w:next w:val="rvps2"/>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накЗнакЗнак">
    <w:name w:val="Знак Знак Знак"/>
    <w:basedOn w:val="Звичайний"/>
    <w:next w:val="ЗнакЗнакЗнак"/>
    <w:autoRedefine w:val="0"/>
    <w:hidden w:val="0"/>
    <w:qFormat w:val="0"/>
    <w:pPr>
      <w:suppressAutoHyphens w:val="1"/>
      <w:spacing w:line="1" w:lineRule="atLeast"/>
      <w:ind w:leftChars="-1" w:rightChars="0" w:firstLineChars="-1"/>
      <w:textDirection w:val="btLr"/>
      <w:textAlignment w:val="top"/>
      <w:outlineLvl w:val="0"/>
    </w:pPr>
    <w:rPr>
      <w:rFonts w:ascii="Verdana" w:cs="Verdana" w:hAnsi="Verdana"/>
      <w:color w:val="000000"/>
      <w:w w:val="100"/>
      <w:position w:val="-1"/>
      <w:sz w:val="20"/>
      <w:szCs w:val="20"/>
      <w:effect w:val="none"/>
      <w:vertAlign w:val="baseline"/>
      <w:cs w:val="0"/>
      <w:em w:val="none"/>
      <w:lang w:bidi="ar-SA" w:eastAsia="en-US" w:val="en-US"/>
    </w:rPr>
  </w:style>
  <w:style w:type="character" w:styleId="Переглянутегіперпосилання">
    <w:name w:val="Переглянуте гіперпосилання"/>
    <w:next w:val="Переглянутегіперпосилання"/>
    <w:autoRedefine w:val="0"/>
    <w:hidden w:val="0"/>
    <w:qFormat w:val="0"/>
    <w:rPr>
      <w:color w:val="800080"/>
      <w:w w:val="100"/>
      <w:position w:val="-1"/>
      <w:u w:val="single"/>
      <w:effect w:val="none"/>
      <w:vertAlign w:val="baseline"/>
      <w:cs w:val="0"/>
      <w:em w:val="none"/>
      <w:lang/>
    </w:rPr>
  </w:style>
  <w:style w:type="paragraph" w:styleId="Текстувиносці">
    <w:name w:val="Текст у виносці"/>
    <w:basedOn w:val="Звичайний"/>
    <w:next w:val="Текстувиносці"/>
    <w:autoRedefine w:val="0"/>
    <w:hidden w:val="0"/>
    <w:qFormat w:val="0"/>
    <w:pPr>
      <w:suppressAutoHyphens w:val="1"/>
      <w:spacing w:line="1" w:lineRule="atLeast"/>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ru-RU" w:val="ru-RU"/>
    </w:rPr>
  </w:style>
  <w:style w:type="character" w:styleId="ТекстувиносціЗнак">
    <w:name w:val="Текст у виносці Знак"/>
    <w:next w:val="ТекстувиносціЗнак"/>
    <w:autoRedefine w:val="0"/>
    <w:hidden w:val="0"/>
    <w:qFormat w:val="0"/>
    <w:rPr>
      <w:rFonts w:ascii="Segoe UI" w:cs="Segoe UI" w:hAnsi="Segoe UI"/>
      <w:w w:val="100"/>
      <w:position w:val="-1"/>
      <w:sz w:val="18"/>
      <w:szCs w:val="18"/>
      <w:effect w:val="none"/>
      <w:vertAlign w:val="baseline"/>
      <w:cs w:val="0"/>
      <w:em w:val="none"/>
      <w:lang w:eastAsia="ru-RU" w:val="ru-RU"/>
    </w:rPr>
  </w:style>
  <w:style w:type="paragraph" w:styleId="Верхнійколонтитул">
    <w:name w:val="Верхній колонтитул"/>
    <w:basedOn w:val="Звичайний"/>
    <w:next w:val="Верхнійколонтитул"/>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ВерхнійколонтитулЗнак">
    <w:name w:val="Верхній колонтитул Знак"/>
    <w:next w:val="ВерхнійколонтитулЗнак"/>
    <w:autoRedefine w:val="0"/>
    <w:hidden w:val="0"/>
    <w:qFormat w:val="0"/>
    <w:rPr>
      <w:w w:val="100"/>
      <w:position w:val="-1"/>
      <w:sz w:val="24"/>
      <w:szCs w:val="24"/>
      <w:effect w:val="none"/>
      <w:vertAlign w:val="baseline"/>
      <w:cs w:val="0"/>
      <w:em w:val="none"/>
      <w:lang w:eastAsia="ru-RU" w:val="ru-RU"/>
    </w:rPr>
  </w:style>
  <w:style w:type="paragraph" w:styleId="Нижнійколонтитул">
    <w:name w:val="Нижній колонтитул"/>
    <w:basedOn w:val="Звичайний"/>
    <w:next w:val="Нижнійколонтитул"/>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НижнійколонтитулЗнак">
    <w:name w:val="Нижній колонтитул Знак"/>
    <w:next w:val="НижнійколонтитулЗнак"/>
    <w:autoRedefine w:val="0"/>
    <w:hidden w:val="0"/>
    <w:qFormat w:val="0"/>
    <w:rPr>
      <w:w w:val="100"/>
      <w:position w:val="-1"/>
      <w:sz w:val="24"/>
      <w:szCs w:val="24"/>
      <w:effect w:val="none"/>
      <w:vertAlign w:val="baseline"/>
      <w:cs w:val="0"/>
      <w:em w:val="none"/>
      <w:lang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0bZt1yhyPQPPxE3ppqkQfE1xg==">CgMxLjA4AHIhMUFXRmVhTHdDR2tiTTBqNENrWDJFendYd1haNWEyVHlB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2022-01-21T12:41:00Z</dcterms:created>
  <dc:creator>Мартинюк Олена</dc:creator>
</cp:coreProperties>
</file>